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C5" w:rsidRDefault="00637FC5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637FC5" w:rsidRDefault="00637FC5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  <w:r w:rsidRPr="00637FC5">
        <w:rPr>
          <w:rFonts w:ascii="Times New Roman" w:hAnsi="Times New Roman"/>
          <w:i/>
          <w:sz w:val="28"/>
          <w:szCs w:val="28"/>
        </w:rPr>
        <w:t xml:space="preserve">Формирование системы особо охраняемых природных территорий (ООПТ) в пределах небольшого города или сельского поселения – важная задача обеспечения качества окружающей среды и экологической безопасности в градостроительной деятельности. В этом направлении решающее значение имеет системность создаваемых ООПТ, их максимальная рекреационная привлекательность, средозащитные и природоохранные функции. </w:t>
      </w:r>
    </w:p>
    <w:p w:rsidR="00637FC5" w:rsidRDefault="00637FC5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  <w:r w:rsidRPr="00637FC5">
        <w:rPr>
          <w:rFonts w:ascii="Times New Roman" w:hAnsi="Times New Roman"/>
          <w:i/>
          <w:sz w:val="28"/>
          <w:szCs w:val="28"/>
        </w:rPr>
        <w:t>Основным назначением городских ООПТ (местного значения) является рекреация – комплекс оздоровительных мероприятий, осуществляемых с целью восстановления нормального самочувствия и работоспособности здорового, но утомлённого человека. Лесопарковая зона, расположенная на окраине жилой дает возможность отдыха и восстановления сил в природном окружении в нерабочее время рядом с домом, существенно повышает качество жизни горожан и их работоспособность, снижает заболеваемость.</w:t>
      </w:r>
    </w:p>
    <w:p w:rsidR="00637FC5" w:rsidRDefault="00637FC5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  <w:r w:rsidRPr="00637FC5">
        <w:rPr>
          <w:rFonts w:ascii="Times New Roman" w:hAnsi="Times New Roman"/>
          <w:i/>
          <w:sz w:val="28"/>
          <w:szCs w:val="28"/>
        </w:rPr>
        <w:t>Природоохранные и средозащитные функции городских ООПТ заключаются в поддержании в городе благоприятного микроклимата, снижении уровня физического и химического загрязнения окружающей среды, особенно выбросами и шумом автотранспорта, выбросами в атмосферу предприятий, сохранении типичных и эталонных экосистем, типичных представителей флоры и фауны.</w:t>
      </w:r>
    </w:p>
    <w:p w:rsidR="00637FC5" w:rsidRDefault="00637FC5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  <w:r w:rsidRPr="00637FC5">
        <w:rPr>
          <w:rFonts w:ascii="Times New Roman" w:hAnsi="Times New Roman"/>
          <w:i/>
          <w:sz w:val="28"/>
          <w:szCs w:val="28"/>
        </w:rPr>
        <w:t>Роль ООПТ для сохранения мест обитания и размножения охраняемых видов в условиях пригородных лесопарков имеет наименьшее значение вследствие низкого ландшафтного и флористического разнообразия, а также малой площади участков под ООПТ.</w:t>
      </w:r>
      <w:r w:rsidR="0074101F">
        <w:rPr>
          <w:rFonts w:ascii="Times New Roman" w:hAnsi="Times New Roman"/>
          <w:i/>
          <w:sz w:val="28"/>
          <w:szCs w:val="28"/>
        </w:rPr>
        <w:t xml:space="preserve"> </w:t>
      </w:r>
    </w:p>
    <w:p w:rsidR="000874C7" w:rsidRDefault="000874C7" w:rsidP="00637FC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8"/>
        </w:rPr>
      </w:pPr>
    </w:p>
    <w:p w:rsidR="0074101F" w:rsidRPr="0074101F" w:rsidRDefault="0074101F" w:rsidP="000874C7">
      <w:pPr>
        <w:spacing w:after="0" w:line="240" w:lineRule="auto"/>
        <w:ind w:left="-426" w:firstLine="357"/>
        <w:jc w:val="both"/>
        <w:rPr>
          <w:rFonts w:ascii="Times New Roman" w:hAnsi="Times New Roman"/>
          <w:b/>
          <w:i/>
          <w:sz w:val="28"/>
          <w:szCs w:val="24"/>
        </w:rPr>
      </w:pPr>
      <w:r w:rsidRPr="0074101F">
        <w:rPr>
          <w:rFonts w:ascii="Times New Roman" w:hAnsi="Times New Roman"/>
          <w:b/>
          <w:i/>
          <w:sz w:val="28"/>
          <w:szCs w:val="28"/>
        </w:rPr>
        <w:t>Родники в окрестности деревни Свистуха</w:t>
      </w:r>
    </w:p>
    <w:p w:rsidR="000874C7" w:rsidRPr="000874C7" w:rsidRDefault="000874C7" w:rsidP="000874C7">
      <w:pPr>
        <w:spacing w:after="0" w:line="240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 xml:space="preserve">Для достижения изложенных целей на территории Дмитровского городского округа в 2017 году создано </w:t>
      </w:r>
      <w:r w:rsidRPr="000874C7">
        <w:rPr>
          <w:rFonts w:ascii="Times New Roman" w:hAnsi="Times New Roman"/>
          <w:i/>
          <w:sz w:val="28"/>
          <w:szCs w:val="24"/>
        </w:rPr>
        <w:t>ООПТ</w:t>
      </w:r>
      <w:r w:rsidRPr="000874C7">
        <w:rPr>
          <w:rFonts w:ascii="Times New Roman" w:hAnsi="Times New Roman"/>
          <w:sz w:val="24"/>
          <w:szCs w:val="24"/>
        </w:rPr>
        <w:t xml:space="preserve"> </w:t>
      </w:r>
      <w:r w:rsidRPr="000874C7">
        <w:rPr>
          <w:rFonts w:ascii="Times New Roman" w:hAnsi="Times New Roman"/>
          <w:i/>
          <w:sz w:val="28"/>
          <w:szCs w:val="28"/>
        </w:rPr>
        <w:t xml:space="preserve">местного значения </w:t>
      </w:r>
      <w:r w:rsidRPr="000874C7">
        <w:rPr>
          <w:rFonts w:ascii="Times New Roman" w:hAnsi="Times New Roman"/>
          <w:bCs/>
          <w:i/>
          <w:sz w:val="28"/>
          <w:szCs w:val="28"/>
        </w:rPr>
        <w:t xml:space="preserve">природный рекреационный комплекс </w:t>
      </w:r>
      <w:r>
        <w:rPr>
          <w:rFonts w:ascii="Times New Roman" w:hAnsi="Times New Roman"/>
          <w:i/>
          <w:sz w:val="28"/>
          <w:szCs w:val="28"/>
        </w:rPr>
        <w:t>«</w:t>
      </w:r>
      <w:r w:rsidRPr="000874C7">
        <w:rPr>
          <w:rFonts w:ascii="Times New Roman" w:hAnsi="Times New Roman"/>
          <w:i/>
          <w:sz w:val="28"/>
          <w:szCs w:val="28"/>
        </w:rPr>
        <w:t>Родники в окрестности деревни Свистуха</w:t>
      </w:r>
      <w:r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4"/>
        </w:rPr>
        <w:t xml:space="preserve">. </w:t>
      </w:r>
      <w:r w:rsidRPr="000874C7">
        <w:rPr>
          <w:rFonts w:ascii="Times New Roman" w:hAnsi="Times New Roman"/>
          <w:i/>
          <w:sz w:val="28"/>
          <w:szCs w:val="24"/>
        </w:rPr>
        <w:t>Общая площадь территории – 8,635 га, периметр – 1 966 м. Террит</w:t>
      </w:r>
      <w:r>
        <w:rPr>
          <w:rFonts w:ascii="Times New Roman" w:hAnsi="Times New Roman"/>
          <w:i/>
          <w:sz w:val="28"/>
          <w:szCs w:val="24"/>
        </w:rPr>
        <w:t xml:space="preserve">ория состоит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</w:t>
      </w:r>
      <w:r>
        <w:rPr>
          <w:rFonts w:ascii="Times New Roman" w:hAnsi="Times New Roman"/>
          <w:i/>
          <w:sz w:val="28"/>
          <w:szCs w:val="24"/>
        </w:rPr>
        <w:t>из одного кластера</w:t>
      </w:r>
      <w:r w:rsidRPr="000874C7">
        <w:rPr>
          <w:rFonts w:ascii="Times New Roman" w:hAnsi="Times New Roman"/>
          <w:i/>
          <w:sz w:val="28"/>
          <w:szCs w:val="24"/>
        </w:rPr>
        <w:t>.</w:t>
      </w:r>
    </w:p>
    <w:p w:rsidR="000874C7" w:rsidRPr="000874C7" w:rsidRDefault="000874C7" w:rsidP="000874C7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0874C7">
        <w:rPr>
          <w:rFonts w:ascii="Times New Roman" w:hAnsi="Times New Roman"/>
          <w:i/>
          <w:sz w:val="28"/>
          <w:szCs w:val="24"/>
        </w:rPr>
        <w:t xml:space="preserve"> К ценным в природоохранном, эстетическом, рекреационном, отношении объектам на ООПТ относится лесопарковая зона, расположенная между дачной и жилой застройкой и берегом Яхромского водохранилища, которая дает возможность отдыха и восстановления сил в природном окружении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</w:t>
      </w:r>
      <w:r w:rsidRPr="000874C7">
        <w:rPr>
          <w:rFonts w:ascii="Times New Roman" w:hAnsi="Times New Roman"/>
          <w:i/>
          <w:sz w:val="28"/>
          <w:szCs w:val="24"/>
        </w:rPr>
        <w:t xml:space="preserve">в нерабочее время рядом с домом, существенно повышает качество жизни горожан и их работоспособность, снижает заболеваемость. Природоохранные и средозащитные функции ООПТ заключаются в поддержании рядом с жилой зоной благоприятного микроклимата, снижении уровня физического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</w:t>
      </w:r>
      <w:r w:rsidRPr="000874C7">
        <w:rPr>
          <w:rFonts w:ascii="Times New Roman" w:hAnsi="Times New Roman"/>
          <w:i/>
          <w:sz w:val="28"/>
          <w:szCs w:val="24"/>
        </w:rPr>
        <w:t xml:space="preserve">и химического загрязнения окружающей среды, сохранении типичных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  </w:t>
      </w:r>
      <w:r w:rsidRPr="000874C7">
        <w:rPr>
          <w:rFonts w:ascii="Times New Roman" w:hAnsi="Times New Roman"/>
          <w:i/>
          <w:sz w:val="28"/>
          <w:szCs w:val="24"/>
        </w:rPr>
        <w:t>и эталонных природных экосистем, типичных представителей флоры и фауны. Родники Бочка и Деревенский являются источниками нецентрализованного хозяйственно-питьевого водоснабжения д. Свистуха. На территории ООПТ присутствуют или могут присутствовать 1 вид растений и 6 видов наземных позвоночных животных, занесенных в Красную книгу Московской области.</w:t>
      </w:r>
    </w:p>
    <w:p w:rsidR="000874C7" w:rsidRDefault="000874C7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0874C7">
        <w:rPr>
          <w:rFonts w:ascii="Times New Roman" w:hAnsi="Times New Roman"/>
          <w:i/>
          <w:sz w:val="28"/>
          <w:szCs w:val="24"/>
        </w:rPr>
        <w:t xml:space="preserve">Культурное значение территории ООПТ заключается в следующем. В начале </w:t>
      </w:r>
      <w:r w:rsidRPr="000874C7">
        <w:rPr>
          <w:rFonts w:ascii="Times New Roman" w:hAnsi="Times New Roman"/>
          <w:i/>
          <w:sz w:val="28"/>
          <w:szCs w:val="24"/>
          <w:lang w:val="en-US"/>
        </w:rPr>
        <w:t>XX</w:t>
      </w:r>
      <w:r w:rsidR="00DC48D5">
        <w:rPr>
          <w:rFonts w:ascii="Times New Roman" w:hAnsi="Times New Roman"/>
          <w:i/>
          <w:sz w:val="28"/>
          <w:szCs w:val="24"/>
        </w:rPr>
        <w:t xml:space="preserve"> в. там</w:t>
      </w:r>
      <w:r w:rsidRPr="000874C7">
        <w:rPr>
          <w:rFonts w:ascii="Times New Roman" w:hAnsi="Times New Roman"/>
          <w:i/>
          <w:sz w:val="28"/>
          <w:szCs w:val="24"/>
        </w:rPr>
        <w:t xml:space="preserve"> жил и работал художник Сергей Васильевич Иванов. </w:t>
      </w:r>
      <w:r w:rsidR="00DC48D5">
        <w:rPr>
          <w:rFonts w:ascii="Times New Roman" w:hAnsi="Times New Roman"/>
          <w:i/>
          <w:sz w:val="28"/>
          <w:szCs w:val="24"/>
        </w:rPr>
        <w:t xml:space="preserve">                                  </w:t>
      </w:r>
      <w:r w:rsidRPr="000874C7">
        <w:rPr>
          <w:rFonts w:ascii="Times New Roman" w:hAnsi="Times New Roman"/>
          <w:i/>
          <w:sz w:val="28"/>
          <w:szCs w:val="24"/>
        </w:rPr>
        <w:lastRenderedPageBreak/>
        <w:t xml:space="preserve">По Деревенскому оврагу (находится в восточной части территории) проходила обозная дорога от Москвы на Дмитров через д. Свистуха. На этой территории в 1959 г. снимали художественный фильм "Марья-искусница", режиссер А. Роу, Киностудия им. Горького. </w:t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495675"/>
            <wp:effectExtent l="0" t="0" r="0" b="9525"/>
            <wp:docPr id="4" name="Рисунок 4" descr="DSC_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71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623">
        <w:rPr>
          <w:rFonts w:ascii="Times New Roman" w:hAnsi="Times New Roman"/>
          <w:sz w:val="24"/>
          <w:szCs w:val="24"/>
        </w:rPr>
        <w:t>Фото 11. Поляна на которой проходили сьемки художественного фильма "Марья-искусница", западная часть территории</w:t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562350"/>
            <wp:effectExtent l="0" t="0" r="0" b="0"/>
            <wp:docPr id="3" name="Рисунок 3" descr="DSC_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71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623">
        <w:rPr>
          <w:rFonts w:ascii="Times New Roman" w:hAnsi="Times New Roman"/>
          <w:sz w:val="24"/>
          <w:szCs w:val="24"/>
        </w:rPr>
        <w:t>Фото 12. Вид вверх по р. Яхрома с обзорной площадки № 1, западная часть территории</w:t>
      </w:r>
    </w:p>
    <w:p w:rsidR="0074101F" w:rsidRDefault="0074101F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</w:p>
    <w:p w:rsidR="0074101F" w:rsidRDefault="0074101F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</w:p>
    <w:p w:rsidR="0074101F" w:rsidRDefault="0074101F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</w:p>
    <w:p w:rsidR="00DC48D5" w:rsidRPr="0074101F" w:rsidRDefault="0074101F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b/>
          <w:i/>
          <w:sz w:val="28"/>
          <w:szCs w:val="24"/>
        </w:rPr>
      </w:pPr>
      <w:r w:rsidRPr="0074101F">
        <w:rPr>
          <w:rFonts w:ascii="Times New Roman" w:hAnsi="Times New Roman"/>
          <w:b/>
          <w:i/>
          <w:sz w:val="28"/>
          <w:szCs w:val="24"/>
        </w:rPr>
        <w:lastRenderedPageBreak/>
        <w:t>Парковый ансамбль в районе деревни Хлыбы</w:t>
      </w:r>
    </w:p>
    <w:p w:rsidR="00DC48D5" w:rsidRDefault="00E84EC1" w:rsidP="00DC48D5">
      <w:pPr>
        <w:spacing w:after="0" w:line="240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32"/>
          <w:szCs w:val="24"/>
        </w:rPr>
        <w:t>В</w:t>
      </w:r>
      <w:r w:rsidR="00DC48D5" w:rsidRPr="00DC48D5">
        <w:rPr>
          <w:rFonts w:ascii="Times New Roman" w:hAnsi="Times New Roman"/>
          <w:i/>
          <w:sz w:val="32"/>
          <w:szCs w:val="24"/>
        </w:rPr>
        <w:t xml:space="preserve"> 2018 году </w:t>
      </w:r>
      <w:r>
        <w:rPr>
          <w:rFonts w:ascii="Times New Roman" w:hAnsi="Times New Roman"/>
          <w:i/>
          <w:sz w:val="32"/>
          <w:szCs w:val="24"/>
        </w:rPr>
        <w:t xml:space="preserve">было </w:t>
      </w:r>
      <w:r w:rsidR="00DC48D5">
        <w:rPr>
          <w:rFonts w:ascii="Times New Roman" w:hAnsi="Times New Roman"/>
          <w:i/>
          <w:sz w:val="28"/>
          <w:szCs w:val="24"/>
        </w:rPr>
        <w:t>запроектировано</w:t>
      </w:r>
      <w:r w:rsidR="00DC48D5" w:rsidRPr="00DC48D5">
        <w:rPr>
          <w:rFonts w:ascii="Times New Roman" w:hAnsi="Times New Roman"/>
          <w:i/>
          <w:sz w:val="28"/>
          <w:szCs w:val="24"/>
        </w:rPr>
        <w:t xml:space="preserve"> ООПТ</w:t>
      </w:r>
      <w:r w:rsidR="00DC48D5" w:rsidRPr="00DC48D5">
        <w:rPr>
          <w:rFonts w:ascii="Times New Roman" w:hAnsi="Times New Roman"/>
          <w:sz w:val="24"/>
          <w:szCs w:val="24"/>
        </w:rPr>
        <w:t xml:space="preserve"> </w:t>
      </w:r>
      <w:r w:rsidR="00DC48D5" w:rsidRPr="00DC48D5">
        <w:rPr>
          <w:rFonts w:ascii="Times New Roman" w:hAnsi="Times New Roman"/>
          <w:i/>
          <w:sz w:val="28"/>
          <w:szCs w:val="24"/>
        </w:rPr>
        <w:t xml:space="preserve">местного значения </w:t>
      </w:r>
      <w:r w:rsidR="00DC48D5" w:rsidRPr="00DC48D5">
        <w:rPr>
          <w:rFonts w:ascii="Times New Roman" w:hAnsi="Times New Roman"/>
          <w:bCs/>
          <w:i/>
          <w:sz w:val="28"/>
          <w:szCs w:val="24"/>
        </w:rPr>
        <w:t xml:space="preserve">природный рекреационный комплекс </w:t>
      </w:r>
      <w:r w:rsidR="00DC48D5" w:rsidRPr="00DC48D5">
        <w:rPr>
          <w:rFonts w:ascii="Times New Roman" w:hAnsi="Times New Roman"/>
          <w:i/>
          <w:sz w:val="28"/>
          <w:szCs w:val="24"/>
        </w:rPr>
        <w:t>«Парковый ансамбль в районе деревни Хлыбы»</w:t>
      </w:r>
      <w:r w:rsidR="00DC48D5">
        <w:rPr>
          <w:rFonts w:ascii="Times New Roman" w:hAnsi="Times New Roman"/>
          <w:i/>
          <w:sz w:val="28"/>
          <w:szCs w:val="24"/>
        </w:rPr>
        <w:t>,</w:t>
      </w:r>
      <w:r w:rsidR="00DC48D5" w:rsidRPr="00DC48D5">
        <w:rPr>
          <w:rFonts w:ascii="Times New Roman" w:hAnsi="Times New Roman"/>
          <w:sz w:val="28"/>
          <w:szCs w:val="24"/>
        </w:rPr>
        <w:t xml:space="preserve"> </w:t>
      </w:r>
      <w:r w:rsidR="00DC48D5" w:rsidRPr="00DC48D5">
        <w:rPr>
          <w:rFonts w:ascii="Times New Roman" w:hAnsi="Times New Roman"/>
          <w:i/>
          <w:sz w:val="32"/>
          <w:szCs w:val="24"/>
        </w:rPr>
        <w:t xml:space="preserve"> </w:t>
      </w:r>
      <w:r w:rsidR="00DC48D5" w:rsidRPr="00DC48D5">
        <w:rPr>
          <w:rFonts w:ascii="Times New Roman" w:hAnsi="Times New Roman"/>
          <w:i/>
          <w:sz w:val="28"/>
          <w:szCs w:val="24"/>
        </w:rPr>
        <w:t xml:space="preserve">состоит </w:t>
      </w:r>
      <w:r w:rsidR="00DC48D5">
        <w:rPr>
          <w:rFonts w:ascii="Times New Roman" w:hAnsi="Times New Roman"/>
          <w:i/>
          <w:sz w:val="28"/>
          <w:szCs w:val="24"/>
        </w:rPr>
        <w:t xml:space="preserve">оно </w:t>
      </w:r>
      <w:r w:rsidR="00DC48D5" w:rsidRPr="00DC48D5">
        <w:rPr>
          <w:rFonts w:ascii="Times New Roman" w:hAnsi="Times New Roman"/>
          <w:i/>
          <w:sz w:val="28"/>
          <w:szCs w:val="24"/>
        </w:rPr>
        <w:t xml:space="preserve">из </w:t>
      </w:r>
      <w:r w:rsidR="00DC48D5">
        <w:rPr>
          <w:rFonts w:ascii="Times New Roman" w:hAnsi="Times New Roman"/>
          <w:i/>
          <w:sz w:val="28"/>
          <w:szCs w:val="24"/>
        </w:rPr>
        <w:t>2 смежных участков (кластеров) общей площадью</w:t>
      </w:r>
      <w:r w:rsidR="00DC48D5" w:rsidRPr="00DC48D5">
        <w:rPr>
          <w:rFonts w:ascii="Times New Roman" w:hAnsi="Times New Roman"/>
          <w:i/>
          <w:sz w:val="28"/>
          <w:szCs w:val="24"/>
        </w:rPr>
        <w:t xml:space="preserve"> территории 6,3426 га, периметр – 1 869 м. </w:t>
      </w:r>
    </w:p>
    <w:p w:rsidR="00DC48D5" w:rsidRPr="00DC48D5" w:rsidRDefault="00DC48D5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 xml:space="preserve"> К ценным в природоохранном, эстетическом, рекреационном, отношении объектам на ООПТ относится искусственный садово-парковый ландшафт. Эти спелые (старовозрастные) насаждения древесных пород были сделаны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</w:t>
      </w:r>
      <w:r w:rsidRPr="00DC48D5">
        <w:rPr>
          <w:rFonts w:ascii="Times New Roman" w:hAnsi="Times New Roman"/>
          <w:i/>
          <w:sz w:val="28"/>
          <w:szCs w:val="24"/>
        </w:rPr>
        <w:t xml:space="preserve">по непроверенным данным в 1911-1918 гг. немецким управляющим владельца поместья Грибова Е.А. При проведении обследования до настоящего время сохранились следующие аллеи, расположенные под прямым углом друг к другу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и ори</w:t>
      </w:r>
      <w:r w:rsidRPr="00DC48D5">
        <w:rPr>
          <w:rFonts w:ascii="Times New Roman" w:hAnsi="Times New Roman"/>
          <w:i/>
          <w:sz w:val="28"/>
          <w:szCs w:val="24"/>
        </w:rPr>
        <w:t>е</w:t>
      </w:r>
      <w:r w:rsidR="00DA6D34">
        <w:rPr>
          <w:rFonts w:ascii="Times New Roman" w:hAnsi="Times New Roman"/>
          <w:i/>
          <w:sz w:val="28"/>
          <w:szCs w:val="24"/>
        </w:rPr>
        <w:t>н</w:t>
      </w:r>
      <w:r w:rsidRPr="00DC48D5">
        <w:rPr>
          <w:rFonts w:ascii="Times New Roman" w:hAnsi="Times New Roman"/>
          <w:i/>
          <w:sz w:val="28"/>
          <w:szCs w:val="24"/>
        </w:rPr>
        <w:t>тированные по сторонам света: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- в восточной части вдоль восточной границы с севера на юг: 2 сосновых аллеи, 1 липовая с елью;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- на запад перпендикулярно от южного края аллей есть 2 лиственничных аллеи с елью;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- с запада на восток параллельно проходят липово-еловая и сосновая аллеи;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- с севера на юг проходит центральная липовая аллея с вязом.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В северной части участка, рядом с прудом и к востоку от места расположения усадьбы произрастают спелые березы</w:t>
      </w:r>
      <w:r w:rsidR="00DA6D34">
        <w:rPr>
          <w:rFonts w:ascii="Times New Roman" w:hAnsi="Times New Roman"/>
          <w:i/>
          <w:sz w:val="28"/>
          <w:szCs w:val="24"/>
        </w:rPr>
        <w:t xml:space="preserve"> и</w:t>
      </w:r>
      <w:r w:rsidRPr="00DC48D5">
        <w:rPr>
          <w:rFonts w:ascii="Times New Roman" w:hAnsi="Times New Roman"/>
          <w:i/>
          <w:sz w:val="28"/>
          <w:szCs w:val="24"/>
        </w:rPr>
        <w:t xml:space="preserve"> лиственницы. Вокруг одного из фонтанов сохранилась 8-лучевая композиция из старовозрастных деревьев туи западной (возраст 110-120 лет). К юго-западу от места,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 </w:t>
      </w:r>
      <w:r w:rsidRPr="00DC48D5">
        <w:rPr>
          <w:rFonts w:ascii="Times New Roman" w:hAnsi="Times New Roman"/>
          <w:i/>
          <w:sz w:val="28"/>
          <w:szCs w:val="24"/>
        </w:rPr>
        <w:t xml:space="preserve">где располагалось поместье, у одного из квадратных прудов произрастают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</w:t>
      </w:r>
      <w:r w:rsidRPr="00DC48D5">
        <w:rPr>
          <w:rFonts w:ascii="Times New Roman" w:hAnsi="Times New Roman"/>
          <w:i/>
          <w:sz w:val="28"/>
          <w:szCs w:val="24"/>
        </w:rPr>
        <w:t>2 спелых вяза диаметром более 1 м возрастом 200-250 лет.</w:t>
      </w:r>
    </w:p>
    <w:p w:rsidR="00DC48D5" w:rsidRPr="00DC48D5" w:rsidRDefault="00DC48D5" w:rsidP="00DC48D5">
      <w:pPr>
        <w:spacing w:after="0" w:line="216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>Все вышеперечисленные аллеи и одиночные деревья являются уникальными объектами искусственного происхождения, заслуживающими охраны.</w:t>
      </w:r>
    </w:p>
    <w:p w:rsidR="00DC48D5" w:rsidRPr="00DC48D5" w:rsidRDefault="00DC48D5" w:rsidP="00DC48D5">
      <w:pPr>
        <w:spacing w:after="0" w:line="228" w:lineRule="auto"/>
        <w:ind w:left="-426" w:firstLine="357"/>
        <w:jc w:val="both"/>
        <w:rPr>
          <w:i/>
          <w:sz w:val="24"/>
        </w:rPr>
      </w:pPr>
      <w:r w:rsidRPr="00DC48D5">
        <w:rPr>
          <w:rFonts w:ascii="Times New Roman" w:hAnsi="Times New Roman"/>
          <w:i/>
          <w:sz w:val="28"/>
          <w:szCs w:val="24"/>
        </w:rPr>
        <w:t xml:space="preserve">Культурное значение территории ООПТ заключается в следующем.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</w:t>
      </w:r>
      <w:r w:rsidRPr="00DC48D5">
        <w:rPr>
          <w:rFonts w:ascii="Times New Roman" w:hAnsi="Times New Roman"/>
          <w:i/>
          <w:sz w:val="28"/>
          <w:szCs w:val="24"/>
        </w:rPr>
        <w:t xml:space="preserve">В 12 веке описываемая территория входила во владения князя Ю. Долгорукого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</w:t>
      </w:r>
      <w:r w:rsidRPr="00DC48D5">
        <w:rPr>
          <w:rFonts w:ascii="Times New Roman" w:hAnsi="Times New Roman"/>
          <w:i/>
          <w:sz w:val="28"/>
          <w:szCs w:val="24"/>
        </w:rPr>
        <w:t xml:space="preserve">и была частью Ростово-Суздальского княжества. Согласно частным исследованиям, уже в 1154 году небольшое (5-7 домов) поселение Хлыбы существовало и являлось одним из промежуточных пунктов северо-восточного речного пути. С. Хлыбы было в последовательном владении ряда «служилых людей», из которых наиболее заметные вклады в освоение земель внесли помещики: Н. С. Титов (драматург, композитор), И. Г. Рахманов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     </w:t>
      </w:r>
      <w:r w:rsidRPr="00DC48D5">
        <w:rPr>
          <w:rFonts w:ascii="Times New Roman" w:hAnsi="Times New Roman"/>
          <w:i/>
          <w:sz w:val="28"/>
          <w:szCs w:val="24"/>
        </w:rPr>
        <w:t>(конец 17 – нач. 18 вв.), М. Е. Шатерников (1886 – 1906 гг.), А. Н. и Е. А. Грибовы (1907 – 1917 гг.).</w:t>
      </w:r>
    </w:p>
    <w:p w:rsidR="00DC48D5" w:rsidRPr="00DC48D5" w:rsidRDefault="00DC48D5" w:rsidP="00DC48D5">
      <w:pPr>
        <w:spacing w:after="0" w:line="228" w:lineRule="auto"/>
        <w:ind w:left="-426" w:firstLine="357"/>
        <w:jc w:val="both"/>
        <w:rPr>
          <w:i/>
          <w:sz w:val="24"/>
        </w:rPr>
      </w:pPr>
      <w:r w:rsidRPr="00DC48D5">
        <w:rPr>
          <w:rFonts w:ascii="Times New Roman" w:hAnsi="Times New Roman"/>
          <w:i/>
          <w:sz w:val="28"/>
          <w:szCs w:val="24"/>
        </w:rPr>
        <w:t>При И. Г. Рахманове был обустроен охотничий заказник, разбит большой искусственный парк, вырыты два искусственных водоема значительного размера.</w:t>
      </w:r>
    </w:p>
    <w:p w:rsidR="00DC48D5" w:rsidRDefault="00DC48D5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  <w:r w:rsidRPr="00DC48D5">
        <w:rPr>
          <w:rFonts w:ascii="Times New Roman" w:hAnsi="Times New Roman"/>
          <w:i/>
          <w:sz w:val="28"/>
          <w:szCs w:val="24"/>
        </w:rPr>
        <w:t xml:space="preserve">М.Е. Шатерников, выпускник Петровской (ныне Тимирязевской) сельскохозяйственной академии, организовав в усадьбе опытно-экспериментальное земледелие с учетом передовых достижений науки, добился рекордных урожаев; также активно занимался просвещением в этой области знаний малограмотного местного населения, оказав огромное влияние </w:t>
      </w:r>
      <w:r w:rsidR="00DA6D34">
        <w:rPr>
          <w:rFonts w:ascii="Times New Roman" w:hAnsi="Times New Roman"/>
          <w:i/>
          <w:sz w:val="28"/>
          <w:szCs w:val="24"/>
        </w:rPr>
        <w:t xml:space="preserve">                      </w:t>
      </w:r>
      <w:r w:rsidRPr="00DC48D5">
        <w:rPr>
          <w:rFonts w:ascii="Times New Roman" w:hAnsi="Times New Roman"/>
          <w:i/>
          <w:sz w:val="28"/>
          <w:szCs w:val="24"/>
        </w:rPr>
        <w:t>на сельское хозяйство практически всех поселений вокруг Дмитрова. При Е.А. Грибове был значительно модернизирован и облагорожен парк, высажены деревья редких пород, по единому архитектурному плану строились капитальные здания и декоративные постройки (остатки 2 фонтанов видны и по сей день), чистились пруды, развивалась дорожная, инженерная инфраструктура. После революции 1917 г. все хозяйство было национализировано.</w:t>
      </w:r>
    </w:p>
    <w:p w:rsidR="00DA6D34" w:rsidRPr="00DC48D5" w:rsidRDefault="00DA6D34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78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34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623">
        <w:rPr>
          <w:rFonts w:ascii="Times New Roman" w:hAnsi="Times New Roman"/>
          <w:sz w:val="24"/>
          <w:szCs w:val="24"/>
        </w:rPr>
        <w:t xml:space="preserve">Фото 18. </w:t>
      </w:r>
      <w:r>
        <w:rPr>
          <w:rFonts w:ascii="Times New Roman" w:hAnsi="Times New Roman"/>
          <w:sz w:val="24"/>
          <w:szCs w:val="24"/>
        </w:rPr>
        <w:t>Вид на большой пруд с островами с северной стороны в восточной части участка</w:t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91150" cy="353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34" w:rsidRPr="00A33623" w:rsidRDefault="00DA6D34" w:rsidP="00DA6D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623">
        <w:rPr>
          <w:rFonts w:ascii="Times New Roman" w:hAnsi="Times New Roman"/>
          <w:sz w:val="24"/>
          <w:szCs w:val="24"/>
        </w:rPr>
        <w:t xml:space="preserve">Фото 11. </w:t>
      </w:r>
      <w:r>
        <w:rPr>
          <w:rFonts w:ascii="Times New Roman" w:hAnsi="Times New Roman"/>
          <w:sz w:val="24"/>
          <w:szCs w:val="24"/>
        </w:rPr>
        <w:t>Липовая аллея, проходящая с севера на юг в центральной части участка</w:t>
      </w:r>
    </w:p>
    <w:p w:rsidR="00DC48D5" w:rsidRPr="000874C7" w:rsidRDefault="00DC48D5" w:rsidP="00DC48D5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28"/>
          <w:szCs w:val="24"/>
        </w:rPr>
      </w:pPr>
    </w:p>
    <w:p w:rsidR="000874C7" w:rsidRPr="000874C7" w:rsidRDefault="000874C7" w:rsidP="000874C7">
      <w:pPr>
        <w:spacing w:after="0" w:line="228" w:lineRule="auto"/>
        <w:ind w:left="-426" w:firstLine="357"/>
        <w:jc w:val="both"/>
        <w:rPr>
          <w:rFonts w:ascii="Times New Roman" w:hAnsi="Times New Roman"/>
          <w:i/>
          <w:sz w:val="32"/>
          <w:szCs w:val="28"/>
        </w:rPr>
      </w:pPr>
    </w:p>
    <w:p w:rsidR="00A23041" w:rsidRDefault="00A23041"/>
    <w:p w:rsidR="00642117" w:rsidRPr="00642117" w:rsidRDefault="00642117" w:rsidP="00642117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На территории Дмитровского городского округа </w:t>
      </w:r>
      <w:r>
        <w:rPr>
          <w:rFonts w:ascii="Times New Roman" w:hAnsi="Times New Roman"/>
          <w:i/>
          <w:sz w:val="28"/>
          <w:szCs w:val="28"/>
        </w:rPr>
        <w:t xml:space="preserve">Решением Исполнительного </w:t>
      </w:r>
      <w:r w:rsidRPr="00642117">
        <w:rPr>
          <w:rFonts w:ascii="Times New Roman" w:hAnsi="Times New Roman"/>
          <w:i/>
          <w:sz w:val="28"/>
          <w:szCs w:val="28"/>
        </w:rPr>
        <w:t xml:space="preserve">комитета Московского областного совета народных депутатов в целях сохранения уникальных и типичных природных комплексов были созданы или намечены к образованию 14 ООПТ регионального значения.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1.Заказник «Переходное болото Лыценка».</w:t>
      </w:r>
      <w:r w:rsidR="00642117">
        <w:rPr>
          <w:rFonts w:ascii="Times New Roman" w:hAnsi="Times New Roman"/>
          <w:i/>
          <w:sz w:val="28"/>
          <w:szCs w:val="28"/>
        </w:rPr>
        <w:t xml:space="preserve"> </w:t>
      </w:r>
      <w:r w:rsidRPr="00642117">
        <w:rPr>
          <w:rFonts w:ascii="Times New Roman" w:hAnsi="Times New Roman"/>
          <w:i/>
          <w:sz w:val="28"/>
          <w:szCs w:val="28"/>
        </w:rPr>
        <w:t xml:space="preserve"> Решение МОИК от 07.08.81 г. </w:t>
      </w:r>
      <w:r w:rsidR="00642117">
        <w:rPr>
          <w:rFonts w:ascii="Times New Roman" w:hAnsi="Times New Roman"/>
          <w:i/>
          <w:sz w:val="28"/>
          <w:szCs w:val="28"/>
        </w:rPr>
        <w:t xml:space="preserve"> </w:t>
      </w:r>
      <w:r w:rsidRPr="00642117">
        <w:rPr>
          <w:rFonts w:ascii="Times New Roman" w:hAnsi="Times New Roman"/>
          <w:i/>
          <w:sz w:val="28"/>
          <w:szCs w:val="28"/>
        </w:rPr>
        <w:t xml:space="preserve">№ 1025/15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2.Заказник «Озера Круглое, Долгое, Нерское и их ближайшее окружение». Решение МОИК от 18.04.66 г. № 341/8 и от 11.04.84 г. № 501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3. Заказник  «Верховое болото Раменское». Решение МОИК от 07.08.81 г. </w:t>
      </w:r>
      <w:r w:rsidR="00642117">
        <w:rPr>
          <w:rFonts w:ascii="Times New Roman" w:hAnsi="Times New Roman"/>
          <w:i/>
          <w:sz w:val="28"/>
          <w:szCs w:val="28"/>
        </w:rPr>
        <w:t xml:space="preserve">    </w:t>
      </w:r>
      <w:r w:rsidRPr="00642117">
        <w:rPr>
          <w:rFonts w:ascii="Times New Roman" w:hAnsi="Times New Roman"/>
          <w:i/>
          <w:sz w:val="28"/>
          <w:szCs w:val="28"/>
        </w:rPr>
        <w:t xml:space="preserve">№ 1025/15, «Верховое болото в Дутшевском лесничестве» Решение МОИК от 13.12.90 г.№ 901/35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4. Заказник «Переходное болото в Раменском лесничестве» Решение МОИК от 13.12.90 г. № 901/35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5. Заказник «Высокобонитетные сосняки Рогачевского лесничества». Решение МОИК от 13.12.90 г. № 901/35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6. Заказник «Сосняки и сосново-еловые насаждения долины р. Сестры с переходными сфагновыми болотами». Решение МОИК от 13.12.90 г. </w:t>
      </w:r>
      <w:r w:rsidR="00642117">
        <w:rPr>
          <w:rFonts w:ascii="Times New Roman" w:hAnsi="Times New Roman"/>
          <w:i/>
          <w:sz w:val="28"/>
          <w:szCs w:val="28"/>
        </w:rPr>
        <w:t xml:space="preserve">               </w:t>
      </w:r>
      <w:r w:rsidRPr="00642117">
        <w:rPr>
          <w:rFonts w:ascii="Times New Roman" w:hAnsi="Times New Roman"/>
          <w:i/>
          <w:sz w:val="28"/>
          <w:szCs w:val="28"/>
        </w:rPr>
        <w:t xml:space="preserve">№ 901/35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7.Заказник «Комплекс еловых и сосновых лесов с  участками переходных болот в Гарском лесничестве»Решение МОИК от 13.12.90 г. № 901/35.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8. Заказник «Еловые и сосновые леса Вербилковского лесничества».Решение МОИК от 13.12.90 г.      № 901/35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9. Заказник «Нелидово - Балабановская лесная дача». Решение МОИК от 04.10.77 г.№1346/28 и 11.04.84 г. № 501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 xml:space="preserve">10. Заказник «Икшинский овраг». Решение МОИК от 04.10.77 г.      </w:t>
      </w:r>
      <w:r w:rsidR="00642117">
        <w:rPr>
          <w:rFonts w:ascii="Times New Roman" w:hAnsi="Times New Roman"/>
          <w:i/>
          <w:sz w:val="28"/>
          <w:szCs w:val="28"/>
        </w:rPr>
        <w:t xml:space="preserve">                        </w:t>
      </w:r>
      <w:r w:rsidRPr="00642117">
        <w:rPr>
          <w:rFonts w:ascii="Times New Roman" w:hAnsi="Times New Roman"/>
          <w:i/>
          <w:sz w:val="28"/>
          <w:szCs w:val="28"/>
        </w:rPr>
        <w:t xml:space="preserve">№ 1346/28 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11. Заказник «Система оврагов у ст. Морозки» Постановление Правительства МО от 30.03.2010 № 184/13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12. заказник «Долина р. Волгуша и Парамоновский овраг»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13. природная территория областного значения особо охраняемого водного объекта «Долина р. Лутосня»</w:t>
      </w:r>
    </w:p>
    <w:p w:rsidR="0074101F" w:rsidRPr="00642117" w:rsidRDefault="0074101F" w:rsidP="006421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117">
        <w:rPr>
          <w:rFonts w:ascii="Times New Roman" w:hAnsi="Times New Roman"/>
          <w:i/>
          <w:sz w:val="28"/>
          <w:szCs w:val="28"/>
        </w:rPr>
        <w:t>14. Парк в селе  Подъячево.  Решение МОИК от 18.04.66 г. № 341/8</w:t>
      </w:r>
    </w:p>
    <w:p w:rsidR="0074101F" w:rsidRDefault="0074101F"/>
    <w:sectPr w:rsidR="00741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91"/>
    <w:rsid w:val="000874C7"/>
    <w:rsid w:val="00637FC5"/>
    <w:rsid w:val="00642117"/>
    <w:rsid w:val="006F19E9"/>
    <w:rsid w:val="0074101F"/>
    <w:rsid w:val="00A23041"/>
    <w:rsid w:val="00A4320F"/>
    <w:rsid w:val="00DA6D34"/>
    <w:rsid w:val="00DC48D5"/>
    <w:rsid w:val="00E04D91"/>
    <w:rsid w:val="00E8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F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F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Дворников Святослав Николаевич</dc:creator>
  <dc:description>exif_MSED_742f9c6f4ad9d87a0a38f3eb1d95e65db4c33d368fd2151f32c75e6460cca930</dc:description>
  <cp:lastModifiedBy>Агапов Илья Владимирович</cp:lastModifiedBy>
  <cp:revision>2</cp:revision>
  <dcterms:created xsi:type="dcterms:W3CDTF">2019-02-14T08:53:00Z</dcterms:created>
  <dcterms:modified xsi:type="dcterms:W3CDTF">2019-02-14T08:53:00Z</dcterms:modified>
</cp:coreProperties>
</file>