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D54FD">
        <w:rPr>
          <w:rFonts w:ascii="Times New Roman" w:hAnsi="Times New Roman"/>
          <w:b/>
          <w:bCs/>
          <w:sz w:val="32"/>
          <w:szCs w:val="32"/>
          <w:lang w:eastAsia="ru-RU"/>
        </w:rPr>
        <w:t>КОНТРОЛЬНО - СЧЕТНАЯ ПАЛАТА</w:t>
      </w: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  <w:lang w:eastAsia="ru-RU"/>
        </w:rPr>
      </w:pPr>
      <w:r w:rsidRPr="00CD54FD">
        <w:rPr>
          <w:rFonts w:ascii="Times New Roman" w:hAnsi="Times New Roman"/>
          <w:b/>
          <w:bCs/>
          <w:sz w:val="32"/>
          <w:szCs w:val="32"/>
          <w:lang w:eastAsia="ru-RU"/>
        </w:rPr>
        <w:t>ДМИТРОВСКОГО МУНИЦИПАЛЬНОГО РАЙОНА МОСКОВСКОЙ ОБЛАСТИ</w:t>
      </w:r>
    </w:p>
    <w:p w:rsidR="00E30B46" w:rsidRPr="00CD54FD" w:rsidRDefault="00E30B46" w:rsidP="00CD54FD">
      <w:pPr>
        <w:spacing w:after="0" w:line="192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B46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4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ЗАКЛЮЧЕНИЕ </w:t>
      </w: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4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 проекту бюджета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сельск</w:t>
      </w:r>
      <w:r w:rsidRPr="00CD54FD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ого поселения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Куликовское</w:t>
      </w: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4FD">
        <w:rPr>
          <w:rFonts w:ascii="Times New Roman" w:hAnsi="Times New Roman"/>
          <w:b/>
          <w:bCs/>
          <w:sz w:val="28"/>
          <w:szCs w:val="28"/>
          <w:lang w:eastAsia="ru-RU"/>
        </w:rPr>
        <w:t>Московской области на 2014 год</w:t>
      </w: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CD54FD">
        <w:rPr>
          <w:rFonts w:ascii="Times New Roman" w:hAnsi="Times New Roman"/>
          <w:b/>
          <w:bCs/>
          <w:sz w:val="28"/>
          <w:szCs w:val="28"/>
          <w:lang w:eastAsia="ru-RU"/>
        </w:rPr>
        <w:t>и на плановый период 2015 и 2016 годов</w:t>
      </w: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30B46" w:rsidRPr="00CD54FD" w:rsidRDefault="00E30B46" w:rsidP="00CD54FD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E30B46" w:rsidRPr="00CD54FD" w:rsidRDefault="00E30B46" w:rsidP="00CD54FD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CD54FD">
        <w:rPr>
          <w:rFonts w:ascii="Times New Roman" w:hAnsi="Times New Roman"/>
          <w:sz w:val="24"/>
          <w:szCs w:val="24"/>
          <w:u w:val="single"/>
          <w:lang w:eastAsia="ru-RU"/>
        </w:rPr>
        <w:t xml:space="preserve">«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12</w:t>
      </w:r>
      <w:r w:rsidRPr="00CD54FD">
        <w:rPr>
          <w:rFonts w:ascii="Times New Roman" w:hAnsi="Times New Roman"/>
          <w:sz w:val="24"/>
          <w:szCs w:val="24"/>
          <w:u w:val="single"/>
          <w:lang w:eastAsia="ru-RU"/>
        </w:rPr>
        <w:t xml:space="preserve">   »   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>декабря</w:t>
      </w:r>
      <w:r w:rsidRPr="00CD54FD">
        <w:rPr>
          <w:rFonts w:ascii="Times New Roman" w:hAnsi="Times New Roman"/>
          <w:sz w:val="24"/>
          <w:szCs w:val="24"/>
          <w:u w:val="single"/>
          <w:lang w:eastAsia="ru-RU"/>
        </w:rPr>
        <w:t xml:space="preserve">  2013</w:t>
      </w:r>
    </w:p>
    <w:p w:rsidR="00E30B46" w:rsidRPr="00CD54FD" w:rsidRDefault="00E30B46" w:rsidP="00CD54FD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  <w:lang w:eastAsia="ru-RU"/>
        </w:rPr>
      </w:pPr>
    </w:p>
    <w:p w:rsidR="00E30B46" w:rsidRDefault="00E30B46" w:rsidP="00CD54FD">
      <w:pPr>
        <w:widowControl w:val="0"/>
        <w:tabs>
          <w:tab w:val="left" w:pos="1418"/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0B46" w:rsidRPr="00CD54FD" w:rsidRDefault="00E30B46" w:rsidP="00CD54FD">
      <w:pPr>
        <w:widowControl w:val="0"/>
        <w:tabs>
          <w:tab w:val="left" w:pos="1418"/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CD54FD">
        <w:rPr>
          <w:rFonts w:ascii="Times New Roman" w:hAnsi="Times New Roman"/>
          <w:b/>
          <w:sz w:val="24"/>
          <w:szCs w:val="24"/>
          <w:lang w:eastAsia="ru-RU"/>
        </w:rPr>
        <w:t>1. Общие положения</w:t>
      </w:r>
    </w:p>
    <w:p w:rsidR="00E30B46" w:rsidRPr="00CD54FD" w:rsidRDefault="00E30B46" w:rsidP="00CD54FD">
      <w:pPr>
        <w:widowControl w:val="0"/>
        <w:tabs>
          <w:tab w:val="left" w:pos="1418"/>
          <w:tab w:val="left" w:pos="3686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:rsidR="00E30B46" w:rsidRPr="00CD54FD" w:rsidRDefault="00E30B46" w:rsidP="00CD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Times New Roman" w:hAnsi="Times New Roman"/>
          <w:sz w:val="24"/>
          <w:szCs w:val="24"/>
          <w:lang w:eastAsia="ru-RU"/>
        </w:rPr>
        <w:t>В соответствии с Бюджетным кодексом Российской Федерации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, Федеральным законом  от 06.10.2003 №131-ФЗ «Об общих принципах организации местного самоуправления в Российской Федерации», Федеральным Законом от 07.02.2011 6-ФЗ «Об общих принципах организации и деятельности контрольно-счетных органов субъектов Российской Федерации и муниципальных образований», Уставом муниципального образования </w:t>
      </w:r>
      <w:r>
        <w:rPr>
          <w:rFonts w:ascii="Times New Roman" w:hAnsi="Times New Roman"/>
          <w:bCs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ское поселение </w:t>
      </w:r>
      <w:r>
        <w:rPr>
          <w:rFonts w:ascii="Times New Roman" w:hAnsi="Times New Roman"/>
          <w:bCs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 Дмитровского муниципального района Московской области, Положением «О контрольно-счетной палате Дмитровского муниципального района Московской области», утвержденным решением Совета депутатов Дмитровского муниципального района Московской области от 31.08.2012г. №205/38, Положением «О бюджетном процессе в </w:t>
      </w:r>
      <w:r>
        <w:rPr>
          <w:rFonts w:ascii="Times New Roman" w:hAnsi="Times New Roman"/>
          <w:bCs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>ско</w:t>
      </w:r>
      <w:r>
        <w:rPr>
          <w:rFonts w:ascii="Times New Roman" w:hAnsi="Times New Roman"/>
          <w:bCs/>
          <w:sz w:val="24"/>
          <w:szCs w:val="24"/>
          <w:lang w:eastAsia="ru-RU"/>
        </w:rPr>
        <w:t>м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Куликовское 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Дмитровского муниципального района Московской области», утвержденным решением Совета депутатов </w:t>
      </w:r>
      <w:r>
        <w:rPr>
          <w:rFonts w:ascii="Times New Roman" w:hAnsi="Times New Roman"/>
          <w:bCs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 Дмитровского муниципального района Московской области от </w:t>
      </w:r>
      <w:r w:rsidRPr="007E546D">
        <w:rPr>
          <w:rFonts w:ascii="Times New Roman" w:hAnsi="Times New Roman"/>
          <w:bCs/>
          <w:sz w:val="24"/>
          <w:szCs w:val="24"/>
          <w:lang w:eastAsia="ru-RU"/>
        </w:rPr>
        <w:t>25.10.2013 г. №93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, Контрольно-счетной палатой Дмитровского муниципального района проведена экспертиза проекта бюджета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Московской области </w:t>
      </w:r>
      <w:r>
        <w:rPr>
          <w:rFonts w:ascii="Times New Roman" w:hAnsi="Times New Roman"/>
          <w:sz w:val="24"/>
          <w:szCs w:val="24"/>
          <w:lang w:eastAsia="ru-RU"/>
        </w:rPr>
        <w:t xml:space="preserve">(далее сельское поселение Куликовское) </w:t>
      </w:r>
      <w:r w:rsidRPr="00CD54FD">
        <w:rPr>
          <w:rFonts w:ascii="Times New Roman" w:hAnsi="Times New Roman"/>
          <w:sz w:val="24"/>
          <w:szCs w:val="24"/>
          <w:lang w:eastAsia="ru-RU"/>
        </w:rPr>
        <w:t>на 2014 год и плановый период 2015 и 2016 г</w:t>
      </w:r>
      <w:r>
        <w:rPr>
          <w:rFonts w:ascii="Times New Roman" w:hAnsi="Times New Roman"/>
          <w:sz w:val="24"/>
          <w:szCs w:val="24"/>
          <w:lang w:eastAsia="ru-RU"/>
        </w:rPr>
        <w:t>.г.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(далее – Проект бюджета).</w:t>
      </w:r>
    </w:p>
    <w:p w:rsidR="00E30B46" w:rsidRPr="00CD54FD" w:rsidRDefault="00E30B46" w:rsidP="00CD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Times New Roman" w:hAnsi="Times New Roman"/>
          <w:sz w:val="24"/>
          <w:szCs w:val="24"/>
          <w:lang w:eastAsia="ru-RU"/>
        </w:rPr>
        <w:t>Цель проведения экспертизы - определить соответствие данного Проекта бюджета,  документов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представленных с Проектом бюджета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действующему бюджетному законодательству и Положению «О бюджетном процессе в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ском поселении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Московской области», анализ объективности планирования доходов и расходов бюджета.</w:t>
      </w:r>
    </w:p>
    <w:p w:rsidR="00E30B46" w:rsidRPr="00CD54FD" w:rsidRDefault="00E30B46" w:rsidP="00CD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Times New Roman" w:hAnsi="Times New Roman"/>
          <w:sz w:val="24"/>
          <w:szCs w:val="24"/>
          <w:lang w:eastAsia="ru-RU"/>
        </w:rPr>
        <w:t xml:space="preserve">Главой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представлен проект бюджета  на  2014 год и плановый  период  2015-2015  годы в  Совет депутатов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31 октября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2013г., </w:t>
      </w:r>
      <w:r w:rsidRPr="00E800E1">
        <w:rPr>
          <w:rFonts w:ascii="Times New Roman" w:hAnsi="Times New Roman"/>
          <w:sz w:val="24"/>
          <w:szCs w:val="24"/>
          <w:lang w:eastAsia="ru-RU"/>
        </w:rPr>
        <w:t xml:space="preserve">что  соответствует ст. 185 Бюджетного кодекса РФ не позднее 15 ноября текущего года и ст. </w:t>
      </w:r>
      <w:r>
        <w:rPr>
          <w:rFonts w:ascii="Times New Roman" w:hAnsi="Times New Roman"/>
          <w:sz w:val="24"/>
          <w:szCs w:val="24"/>
          <w:lang w:eastAsia="ru-RU"/>
        </w:rPr>
        <w:t xml:space="preserve">38 </w:t>
      </w:r>
      <w:r w:rsidRPr="00E800E1">
        <w:rPr>
          <w:rFonts w:ascii="Times New Roman" w:hAnsi="Times New Roman"/>
          <w:sz w:val="24"/>
          <w:szCs w:val="24"/>
          <w:lang w:eastAsia="ru-RU"/>
        </w:rPr>
        <w:t xml:space="preserve">Положения «О бюджетном процессе в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E800E1">
        <w:rPr>
          <w:rFonts w:ascii="Times New Roman" w:hAnsi="Times New Roman"/>
          <w:sz w:val="24"/>
          <w:szCs w:val="24"/>
          <w:lang w:eastAsia="ru-RU"/>
        </w:rPr>
        <w:t xml:space="preserve">ском поселении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E800E1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Московской области». В Контрольно-счетную палату проект бюджета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E800E1">
        <w:rPr>
          <w:rFonts w:ascii="Times New Roman" w:hAnsi="Times New Roman"/>
          <w:sz w:val="24"/>
          <w:szCs w:val="24"/>
          <w:lang w:eastAsia="ru-RU"/>
        </w:rPr>
        <w:t>ского поселения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представлен 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.11.2013г. </w:t>
      </w:r>
    </w:p>
    <w:p w:rsidR="00E30B46" w:rsidRPr="00CD54FD" w:rsidRDefault="00E30B46" w:rsidP="00CD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Times New Roman" w:hAnsi="Times New Roman"/>
          <w:sz w:val="24"/>
          <w:szCs w:val="24"/>
          <w:lang w:eastAsia="ru-RU"/>
        </w:rPr>
        <w:t xml:space="preserve">На основании пункта 4 ст. 169 Бюджетного кодекса </w:t>
      </w:r>
      <w:r>
        <w:rPr>
          <w:rFonts w:ascii="Times New Roman" w:hAnsi="Times New Roman"/>
          <w:sz w:val="24"/>
          <w:szCs w:val="24"/>
          <w:lang w:eastAsia="ru-RU"/>
        </w:rPr>
        <w:t>р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ешением Совета депутатов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</w:t>
      </w:r>
      <w:r w:rsidRPr="00880A95">
        <w:rPr>
          <w:rFonts w:ascii="Times New Roman" w:hAnsi="Times New Roman"/>
          <w:sz w:val="24"/>
          <w:szCs w:val="24"/>
          <w:lang w:eastAsia="ru-RU"/>
        </w:rPr>
        <w:t>района Московской области от 31.10.2013г. №117.1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«Об установлении сроков, на которые составляется и утверждается бюджет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Московской области» было установлено, что бюджет </w:t>
      </w:r>
      <w:r>
        <w:rPr>
          <w:rFonts w:ascii="Times New Roman" w:hAnsi="Times New Roman"/>
          <w:sz w:val="24"/>
          <w:szCs w:val="24"/>
          <w:lang w:eastAsia="ru-RU"/>
        </w:rPr>
        <w:t xml:space="preserve">сельского поселения </w:t>
      </w:r>
      <w:r w:rsidRPr="00CD54FD">
        <w:rPr>
          <w:rFonts w:ascii="Times New Roman" w:hAnsi="Times New Roman"/>
          <w:sz w:val="24"/>
          <w:szCs w:val="24"/>
          <w:lang w:eastAsia="ru-RU"/>
        </w:rPr>
        <w:t>составляется и утверждается сроком на три года – очередной финансовый год и плановый период.</w:t>
      </w:r>
    </w:p>
    <w:p w:rsidR="00E30B46" w:rsidRPr="00CD54FD" w:rsidRDefault="00E30B46" w:rsidP="00CD54F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Times New Roman" w:hAnsi="Times New Roman"/>
          <w:sz w:val="24"/>
          <w:szCs w:val="24"/>
          <w:lang w:eastAsia="ru-RU"/>
        </w:rPr>
        <w:t>Одновременно  с  проектом  бюджета представлены  следующие документы  и  материалы:</w:t>
      </w:r>
    </w:p>
    <w:p w:rsidR="00E30B46" w:rsidRPr="00CD54FD" w:rsidRDefault="00E30B46" w:rsidP="00CD5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D54FD">
        <w:rPr>
          <w:rFonts w:ascii="Arial Narrow" w:hAnsi="Arial Narrow"/>
          <w:sz w:val="28"/>
          <w:szCs w:val="28"/>
          <w:lang w:eastAsia="ru-RU"/>
        </w:rPr>
        <w:t xml:space="preserve"> </w:t>
      </w:r>
      <w:bookmarkStart w:id="0" w:name="sub_11121"/>
      <w:r w:rsidRPr="00CD54F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164637">
        <w:rPr>
          <w:rFonts w:ascii="Times New Roman" w:hAnsi="Times New Roman"/>
          <w:sz w:val="24"/>
          <w:szCs w:val="24"/>
          <w:lang w:eastAsia="ru-RU"/>
        </w:rPr>
        <w:t xml:space="preserve">1) основные направления бюджетной и налоговой политики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164637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164637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на 2014-2016 годы;</w:t>
      </w:r>
    </w:p>
    <w:p w:rsidR="00E30B46" w:rsidRPr="00CD54FD" w:rsidRDefault="00E30B46" w:rsidP="00CD5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" w:name="sub_11122"/>
      <w:bookmarkEnd w:id="0"/>
      <w:r w:rsidRPr="00CD54FD">
        <w:rPr>
          <w:rFonts w:ascii="Times New Roman" w:hAnsi="Times New Roman"/>
          <w:sz w:val="24"/>
          <w:szCs w:val="24"/>
          <w:lang w:eastAsia="ru-RU"/>
        </w:rPr>
        <w:t xml:space="preserve">    2) предварительные итоги социально-экономического развития </w:t>
      </w:r>
      <w:r>
        <w:rPr>
          <w:rFonts w:ascii="Times New Roman" w:hAnsi="Times New Roman"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sz w:val="24"/>
          <w:szCs w:val="24"/>
          <w:lang w:eastAsia="ru-RU"/>
        </w:rPr>
        <w:t xml:space="preserve"> Дмитровского муниципального района за истекший период текущего финансового года и ожидаемые итоги социально-экономического развития за текущий финансовый год;</w:t>
      </w:r>
    </w:p>
    <w:p w:rsidR="00E30B46" w:rsidRPr="00CD54FD" w:rsidRDefault="00E30B46" w:rsidP="00CD5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2" w:name="sub_11123"/>
      <w:bookmarkEnd w:id="1"/>
      <w:r w:rsidRPr="00CD54FD">
        <w:rPr>
          <w:rFonts w:ascii="Times New Roman" w:hAnsi="Times New Roman"/>
          <w:sz w:val="24"/>
          <w:szCs w:val="24"/>
          <w:lang w:eastAsia="ru-RU"/>
        </w:rPr>
        <w:t xml:space="preserve">    3) прогноз социально-экономического развития на 2014-2016 годы;</w:t>
      </w:r>
    </w:p>
    <w:p w:rsidR="00E30B46" w:rsidRPr="00CD54FD" w:rsidRDefault="00E30B46" w:rsidP="00CD5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3" w:name="sub_11124"/>
      <w:bookmarkEnd w:id="2"/>
      <w:r w:rsidRPr="00CD54FD">
        <w:rPr>
          <w:rFonts w:ascii="Times New Roman" w:hAnsi="Times New Roman"/>
          <w:sz w:val="24"/>
          <w:szCs w:val="24"/>
          <w:lang w:eastAsia="ru-RU"/>
        </w:rPr>
        <w:t xml:space="preserve">    </w:t>
      </w:r>
      <w:r w:rsidRPr="00311AC9">
        <w:rPr>
          <w:rFonts w:ascii="Times New Roman" w:hAnsi="Times New Roman"/>
          <w:sz w:val="24"/>
          <w:szCs w:val="24"/>
          <w:lang w:eastAsia="ru-RU"/>
        </w:rPr>
        <w:t>4) оценка ожидаемого исполнения бюджета на 2013 год;</w:t>
      </w:r>
    </w:p>
    <w:p w:rsidR="00E30B46" w:rsidRDefault="00E30B46" w:rsidP="00CD54F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4" w:name="sub_11125"/>
      <w:bookmarkEnd w:id="3"/>
      <w:r w:rsidRPr="00CD54FD">
        <w:rPr>
          <w:rFonts w:ascii="Times New Roman" w:hAnsi="Times New Roman"/>
          <w:sz w:val="24"/>
          <w:szCs w:val="24"/>
          <w:lang w:eastAsia="ru-RU"/>
        </w:rPr>
        <w:t xml:space="preserve">    </w:t>
      </w:r>
      <w:bookmarkStart w:id="5" w:name="sub_11126"/>
      <w:bookmarkEnd w:id="4"/>
      <w:r w:rsidRPr="00CD54FD">
        <w:rPr>
          <w:rFonts w:ascii="Times New Roman" w:hAnsi="Times New Roman"/>
          <w:sz w:val="24"/>
          <w:szCs w:val="24"/>
          <w:lang w:eastAsia="ru-RU"/>
        </w:rPr>
        <w:t>5) пояснительная записка к проекту бюджета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0B46" w:rsidRPr="00CD54FD" w:rsidRDefault="00E30B46" w:rsidP="00374A4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 нарушение статьи 184.2 Бюджетного кодекса РФ не представлены методика и расчеты межбюджетных трансфертов </w:t>
      </w:r>
    </w:p>
    <w:bookmarkEnd w:id="5"/>
    <w:p w:rsidR="00E30B46" w:rsidRPr="00CD54FD" w:rsidRDefault="00E30B46" w:rsidP="00CD54FD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1474D">
        <w:rPr>
          <w:rFonts w:ascii="Times New Roman" w:hAnsi="Times New Roman"/>
          <w:iCs/>
          <w:color w:val="000000"/>
          <w:sz w:val="24"/>
          <w:szCs w:val="24"/>
          <w:lang w:eastAsia="ru-RU"/>
        </w:rPr>
        <w:t>В соответствии со ст.28 Федерального закона № 131-ФЗ от 06.10.2003 Проект бюджета выносится на публичные слушания и в соответствии со ст.52 Федерального закона № 131-ФЗ от 06.10.2003 опубликован 14 ноября 2013г. в газете «Дмитровский вестник».</w:t>
      </w:r>
      <w:r w:rsidRPr="00CD54FD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E30B46" w:rsidRPr="00CD54FD" w:rsidRDefault="00E30B46" w:rsidP="00CD54FD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В проекте решения обеспечена реализация установленных приоритетов бюджетной и налоговой политики </w:t>
      </w:r>
      <w:r>
        <w:rPr>
          <w:rFonts w:ascii="Times New Roman" w:hAnsi="Times New Roman"/>
          <w:bCs/>
          <w:sz w:val="24"/>
          <w:szCs w:val="24"/>
          <w:lang w:eastAsia="ru-RU"/>
        </w:rPr>
        <w:t>сель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ского поселения </w:t>
      </w:r>
      <w:r>
        <w:rPr>
          <w:rFonts w:ascii="Times New Roman" w:hAnsi="Times New Roman"/>
          <w:bCs/>
          <w:sz w:val="24"/>
          <w:szCs w:val="24"/>
          <w:lang w:eastAsia="ru-RU"/>
        </w:rPr>
        <w:t>Куликовское</w:t>
      </w:r>
      <w:r w:rsidRPr="00CD54FD">
        <w:rPr>
          <w:rFonts w:ascii="Times New Roman" w:hAnsi="Times New Roman"/>
          <w:bCs/>
          <w:sz w:val="24"/>
          <w:szCs w:val="24"/>
          <w:lang w:eastAsia="ru-RU"/>
        </w:rPr>
        <w:t xml:space="preserve"> на 2014 год и плановый период 2015-2016 годов.</w:t>
      </w:r>
    </w:p>
    <w:p w:rsidR="00E30B46" w:rsidRPr="00CD54FD" w:rsidRDefault="00E30B46" w:rsidP="00CD54FD">
      <w:pPr>
        <w:spacing w:after="0" w:line="240" w:lineRule="auto"/>
        <w:ind w:firstLine="90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ru-RU"/>
        </w:rPr>
        <w:t>Проект местного бюджета в целом основан на Бюджетном послании Президента Российской Федерации о бюджетной политике в 2014-2016г.г. и основных направлениях бюджетной и налоговой политики сельского поселения Куликовское на 2014 год и плановый период.</w:t>
      </w:r>
    </w:p>
    <w:p w:rsidR="00E30B46" w:rsidRDefault="00E30B46" w:rsidP="002F66F6">
      <w:pPr>
        <w:pStyle w:val="Style3"/>
        <w:widowControl/>
        <w:spacing w:line="240" w:lineRule="auto"/>
        <w:ind w:firstLine="900"/>
        <w:jc w:val="both"/>
      </w:pPr>
      <w:r w:rsidRPr="00CD54FD">
        <w:t>Планирование бюджета основывается на следующих основных показателях прогноза социально-экономического развития:</w:t>
      </w:r>
      <w:r w:rsidRPr="002F66F6">
        <w:t xml:space="preserve"> 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- рост сельскохозяйственного производства по основным видам (второй вариант развития):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по производству картофеля: в 2014 году на 4,5%, в 2015 году на 8,2%, в 2016 году на 8,9%;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по производству овощей: в 2014 году на 5,2%, в 2015 году на 9,9%, в 2016 году на 11,2%;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по производству скота и птицы (в живом весе): в 2014 году на 12,1, в 2015 году на 16,2%, в 2016 году на 20,9%;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по производству яиц: в 2014 году на 11,1%, в 2015 году на 12,5%, в 2016 году на 13,3%.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 xml:space="preserve">Планируется рост доли обрабатываемой пашни в общей площади пашни с 82% в 2014году до 91% в 2016году. </w:t>
      </w: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  <w:r>
        <w:rPr>
          <w:rStyle w:val="FontStyle11"/>
          <w:b w:val="0"/>
          <w:bCs/>
          <w:sz w:val="24"/>
          <w:szCs w:val="24"/>
        </w:rPr>
        <w:t>- рост фонда заработной платы: в 2014 году на 10,6%, в 2015 году на 10,9%, в 2016 году на 11,1%.</w:t>
      </w:r>
    </w:p>
    <w:p w:rsidR="00E30B46" w:rsidRPr="00231803" w:rsidRDefault="00E30B46" w:rsidP="00703965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i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231803">
        <w:rPr>
          <w:rFonts w:ascii="Times New Roman" w:hAnsi="Times New Roman"/>
          <w:sz w:val="24"/>
          <w:szCs w:val="24"/>
        </w:rPr>
        <w:t xml:space="preserve">В проекте бюджета доходы и расходы </w:t>
      </w:r>
      <w:r w:rsidRPr="0005595B">
        <w:rPr>
          <w:rFonts w:ascii="Times New Roman" w:hAnsi="Times New Roman"/>
          <w:sz w:val="24"/>
          <w:szCs w:val="24"/>
        </w:rPr>
        <w:t>бюджета,</w:t>
      </w:r>
      <w:r w:rsidRPr="00231803">
        <w:rPr>
          <w:rFonts w:ascii="Times New Roman" w:hAnsi="Times New Roman"/>
          <w:sz w:val="24"/>
          <w:szCs w:val="24"/>
        </w:rPr>
        <w:t xml:space="preserve"> источники финансирования дефицита бюджета сгруппированы</w:t>
      </w:r>
      <w:r>
        <w:rPr>
          <w:rFonts w:ascii="Times New Roman" w:hAnsi="Times New Roman"/>
          <w:sz w:val="24"/>
          <w:szCs w:val="24"/>
        </w:rPr>
        <w:t xml:space="preserve"> с отдельными отклонениями от инструкции, утвержденной </w:t>
      </w:r>
      <w:r w:rsidRPr="00231803">
        <w:rPr>
          <w:rFonts w:ascii="Times New Roman" w:hAnsi="Times New Roman"/>
          <w:sz w:val="24"/>
          <w:szCs w:val="24"/>
        </w:rPr>
        <w:t>Приказом Минфина России от 01.07.2013 №65н «Об утверждении Указаний о порядке применения бюджетной классификации Российской Федерации».</w:t>
      </w:r>
      <w:r>
        <w:rPr>
          <w:rFonts w:ascii="Times New Roman" w:hAnsi="Times New Roman"/>
          <w:sz w:val="24"/>
          <w:szCs w:val="24"/>
        </w:rPr>
        <w:t xml:space="preserve"> Замечания конкретизированы в приложении. </w:t>
      </w:r>
    </w:p>
    <w:p w:rsidR="00E30B46" w:rsidRPr="00231803" w:rsidRDefault="00E30B46" w:rsidP="0070396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31803">
        <w:rPr>
          <w:rFonts w:ascii="Times New Roman" w:hAnsi="Times New Roman"/>
          <w:sz w:val="24"/>
          <w:szCs w:val="24"/>
        </w:rPr>
        <w:t xml:space="preserve">             Значения всех характеристик бюджета, указанных в текстовой части проекта решения о бюджете</w:t>
      </w:r>
      <w:r>
        <w:rPr>
          <w:rFonts w:ascii="Times New Roman" w:hAnsi="Times New Roman"/>
          <w:sz w:val="24"/>
          <w:szCs w:val="24"/>
        </w:rPr>
        <w:t xml:space="preserve"> в основном</w:t>
      </w:r>
      <w:r w:rsidRPr="00231803">
        <w:rPr>
          <w:rFonts w:ascii="Times New Roman" w:hAnsi="Times New Roman"/>
          <w:sz w:val="24"/>
          <w:szCs w:val="24"/>
        </w:rPr>
        <w:t xml:space="preserve"> соответствуют значениям этих показателей в табличной части проекта.</w:t>
      </w:r>
    </w:p>
    <w:p w:rsidR="00E30B46" w:rsidRPr="00231803" w:rsidRDefault="00E30B46" w:rsidP="0023180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31803">
        <w:rPr>
          <w:rFonts w:ascii="Times New Roman" w:hAnsi="Times New Roman"/>
          <w:iCs/>
          <w:color w:val="000000"/>
          <w:sz w:val="24"/>
          <w:szCs w:val="24"/>
        </w:rPr>
        <w:t xml:space="preserve">     </w:t>
      </w:r>
      <w:r w:rsidRPr="00231803">
        <w:rPr>
          <w:rFonts w:ascii="Times New Roman" w:hAnsi="Times New Roman"/>
          <w:sz w:val="24"/>
          <w:szCs w:val="24"/>
        </w:rPr>
        <w:t>Динамика доходов, расходов и дефицита бюджета сельского поселения К</w:t>
      </w:r>
      <w:r>
        <w:rPr>
          <w:rFonts w:ascii="Times New Roman" w:hAnsi="Times New Roman"/>
          <w:sz w:val="24"/>
          <w:szCs w:val="24"/>
        </w:rPr>
        <w:t>уликовское</w:t>
      </w:r>
      <w:r w:rsidRPr="00231803">
        <w:rPr>
          <w:rFonts w:ascii="Times New Roman" w:hAnsi="Times New Roman"/>
          <w:sz w:val="24"/>
          <w:szCs w:val="24"/>
        </w:rPr>
        <w:t>, по проекту бюджета на 2014год и плановый период, ожидаемому исполнению бюджета за 2013г. и фактическому исполнению за 2012г. приведена в таблице №1.</w:t>
      </w:r>
    </w:p>
    <w:p w:rsidR="00E30B46" w:rsidRDefault="00E30B46" w:rsidP="0023180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2318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E30B46" w:rsidRPr="00231803" w:rsidRDefault="00E30B46" w:rsidP="00231803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Pr="00231803">
        <w:rPr>
          <w:rFonts w:ascii="Times New Roman" w:hAnsi="Times New Roman"/>
          <w:sz w:val="24"/>
          <w:szCs w:val="24"/>
        </w:rPr>
        <w:t xml:space="preserve"> Таблица №1</w:t>
      </w:r>
    </w:p>
    <w:p w:rsidR="00E30B46" w:rsidRPr="00093D18" w:rsidRDefault="00E30B46" w:rsidP="00093D18">
      <w:pPr>
        <w:spacing w:after="0"/>
        <w:ind w:firstLine="709"/>
        <w:rPr>
          <w:rFonts w:ascii="Times New Roman" w:hAnsi="Times New Roman"/>
          <w:sz w:val="20"/>
          <w:szCs w:val="20"/>
        </w:rPr>
      </w:pPr>
      <w:r w:rsidRPr="00231803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Pr="00093D18">
        <w:rPr>
          <w:rFonts w:ascii="Times New Roman" w:hAnsi="Times New Roman"/>
          <w:sz w:val="20"/>
          <w:szCs w:val="20"/>
        </w:rPr>
        <w:t xml:space="preserve">(тыс. рублей)  </w:t>
      </w:r>
    </w:p>
    <w:tbl>
      <w:tblPr>
        <w:tblW w:w="10080" w:type="dxa"/>
        <w:tblInd w:w="96" w:type="dxa"/>
        <w:tblLayout w:type="fixed"/>
        <w:tblLook w:val="00A0"/>
      </w:tblPr>
      <w:tblGrid>
        <w:gridCol w:w="373"/>
        <w:gridCol w:w="3328"/>
        <w:gridCol w:w="1276"/>
        <w:gridCol w:w="1417"/>
        <w:gridCol w:w="1134"/>
        <w:gridCol w:w="1260"/>
        <w:gridCol w:w="1292"/>
      </w:tblGrid>
      <w:tr w:rsidR="00E30B46" w:rsidRPr="006A3C80" w:rsidTr="00703965">
        <w:trPr>
          <w:tblHeader/>
        </w:trPr>
        <w:tc>
          <w:tcPr>
            <w:tcW w:w="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0B46" w:rsidRPr="006A3C80" w:rsidRDefault="00E30B46">
            <w:pPr>
              <w:jc w:val="center"/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332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B46" w:rsidRPr="006A3C80" w:rsidRDefault="00E30B46" w:rsidP="00231803">
            <w:pPr>
              <w:spacing w:after="0"/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0B46" w:rsidRPr="006A3C80" w:rsidRDefault="00E30B46" w:rsidP="00231803">
            <w:pPr>
              <w:spacing w:after="0"/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 xml:space="preserve">Факт </w:t>
            </w:r>
          </w:p>
          <w:p w:rsidR="00E30B46" w:rsidRPr="006A3C80" w:rsidRDefault="00E30B46">
            <w:pPr>
              <w:ind w:left="-99" w:right="-108"/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>2012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 w:rsidP="00231803">
            <w:pPr>
              <w:spacing w:after="0"/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 xml:space="preserve">Ожидаемая оценка </w:t>
            </w:r>
          </w:p>
          <w:p w:rsidR="00E30B46" w:rsidRPr="006A3C80" w:rsidRDefault="00E30B46">
            <w:pPr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>2013 год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 w:rsidP="00231803">
            <w:pPr>
              <w:spacing w:after="0"/>
              <w:jc w:val="center"/>
              <w:rPr>
                <w:bCs/>
                <w:i/>
              </w:rPr>
            </w:pPr>
            <w:r w:rsidRPr="006A3C80">
              <w:rPr>
                <w:bCs/>
                <w:i/>
              </w:rPr>
              <w:t>Проект бюджета</w:t>
            </w:r>
          </w:p>
        </w:tc>
      </w:tr>
      <w:tr w:rsidR="00E30B46" w:rsidRPr="006A3C80" w:rsidTr="00703965">
        <w:trPr>
          <w:tblHeader/>
        </w:trPr>
        <w:tc>
          <w:tcPr>
            <w:tcW w:w="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>
            <w:pPr>
              <w:rPr>
                <w:i/>
                <w:sz w:val="24"/>
                <w:szCs w:val="24"/>
                <w:highlight w:val="green"/>
              </w:rPr>
            </w:pPr>
          </w:p>
        </w:tc>
        <w:tc>
          <w:tcPr>
            <w:tcW w:w="3326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30B46" w:rsidRPr="006A3C80" w:rsidRDefault="00E30B46">
            <w:pPr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  <w:rPr>
                <w:b/>
                <w:bCs/>
                <w:i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>
            <w:pPr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>
            <w:pPr>
              <w:jc w:val="center"/>
              <w:rPr>
                <w:b/>
                <w:bCs/>
                <w:i/>
              </w:rPr>
            </w:pPr>
            <w:r w:rsidRPr="006A3C80">
              <w:rPr>
                <w:bCs/>
                <w:i/>
              </w:rPr>
              <w:t>2014 год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>
            <w:pPr>
              <w:jc w:val="center"/>
              <w:rPr>
                <w:b/>
                <w:bCs/>
                <w:i/>
              </w:rPr>
            </w:pPr>
            <w:r w:rsidRPr="006A3C80">
              <w:rPr>
                <w:bCs/>
                <w:i/>
              </w:rPr>
              <w:t>2015 год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30B46" w:rsidRPr="006A3C80" w:rsidRDefault="00E30B46">
            <w:pPr>
              <w:jc w:val="center"/>
              <w:rPr>
                <w:b/>
                <w:bCs/>
                <w:i/>
              </w:rPr>
            </w:pPr>
            <w:r w:rsidRPr="006A3C80">
              <w:rPr>
                <w:bCs/>
                <w:i/>
              </w:rPr>
              <w:t>2016 год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1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  <w:rPr>
                <w:b/>
                <w:bCs/>
              </w:rPr>
            </w:pPr>
            <w:r w:rsidRPr="006A3C80">
              <w:rPr>
                <w:b/>
              </w:rPr>
              <w:t>Доходы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56222,5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41475,0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left="-108" w:right="-108"/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49313,5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right="-124"/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49986,8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iCs/>
                <w:color w:val="000000"/>
              </w:rPr>
              <w:t>50553,0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</w:pPr>
            <w:r w:rsidRPr="006A3C80">
              <w:t>в  % 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73,8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118,9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101,4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  <w:bCs/>
              </w:rPr>
            </w:pPr>
            <w:r w:rsidRPr="006A3C80">
              <w:rPr>
                <w:b/>
                <w:bCs/>
              </w:rPr>
              <w:t>101,1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</w:pPr>
            <w:r w:rsidRPr="006A3C80"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</w:pPr>
            <w:r w:rsidRPr="006A3C80">
              <w:t>6213,0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23794,0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left="-108" w:right="-108"/>
              <w:jc w:val="center"/>
            </w:pPr>
            <w:r w:rsidRPr="006A3C80">
              <w:t>275,0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right="-124"/>
              <w:jc w:val="center"/>
            </w:pPr>
            <w:r w:rsidRPr="006A3C80">
              <w:rPr>
                <w:bCs/>
              </w:rPr>
              <w:t>330,0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rPr>
                <w:bCs/>
              </w:rPr>
              <w:t>281,0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</w:pPr>
            <w:r w:rsidRPr="006A3C80">
              <w:t>Собственные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</w:pPr>
            <w:r w:rsidRPr="006A3C80">
              <w:t>50309,5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17681,0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left="-108" w:right="-108"/>
              <w:jc w:val="center"/>
            </w:pPr>
            <w:r w:rsidRPr="006A3C80">
              <w:t>49038,5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right="-124"/>
              <w:jc w:val="center"/>
            </w:pPr>
            <w:r w:rsidRPr="006A3C80">
              <w:t>49656,8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50272,0</w:t>
            </w:r>
          </w:p>
        </w:tc>
      </w:tr>
      <w:tr w:rsidR="00E30B46" w:rsidRPr="006A3C80" w:rsidTr="00B467C0">
        <w:trPr>
          <w:trHeight w:val="270"/>
        </w:trPr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2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  <w:rPr>
                <w:b/>
              </w:rPr>
            </w:pPr>
            <w:r w:rsidRPr="006A3C80">
              <w:rPr>
                <w:b/>
              </w:rPr>
              <w:t>Расходы бюджета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54932,9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49442,0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left="-108" w:right="-108"/>
              <w:jc w:val="center"/>
              <w:rPr>
                <w:b/>
              </w:rPr>
            </w:pPr>
            <w:r w:rsidRPr="006A3C80">
              <w:rPr>
                <w:b/>
              </w:rPr>
              <w:t>49313,5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ind w:right="-124"/>
              <w:jc w:val="center"/>
              <w:rPr>
                <w:b/>
              </w:rPr>
            </w:pPr>
            <w:r w:rsidRPr="006A3C80">
              <w:rPr>
                <w:b/>
              </w:rPr>
              <w:t>49986,8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50553,0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</w:pPr>
            <w:r w:rsidRPr="006A3C80">
              <w:t>в  %  к предыдущему году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90,0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99,7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101,4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</w:pPr>
            <w:r w:rsidRPr="006A3C80">
              <w:t>101,1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3</w:t>
            </w: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pPr>
              <w:jc w:val="both"/>
              <w:rPr>
                <w:b/>
              </w:rPr>
            </w:pPr>
            <w:r w:rsidRPr="006A3C80">
              <w:rPr>
                <w:b/>
              </w:rPr>
              <w:t>- Дефицит бюджета</w:t>
            </w:r>
          </w:p>
          <w:p w:rsidR="00E30B46" w:rsidRPr="006A3C80" w:rsidRDefault="00E30B46">
            <w:pPr>
              <w:jc w:val="both"/>
              <w:rPr>
                <w:b/>
              </w:rPr>
            </w:pPr>
            <w:r w:rsidRPr="006A3C80">
              <w:rPr>
                <w:b/>
              </w:rPr>
              <w:t xml:space="preserve"> (+ профицит) 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  <w:rPr>
                <w:b/>
              </w:rPr>
            </w:pPr>
          </w:p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+1289,6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-7967,0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</w:rPr>
              <w:t>0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b/>
              </w:rPr>
            </w:pPr>
            <w:r w:rsidRPr="006A3C80">
              <w:rPr>
                <w:b/>
                <w:iCs/>
                <w:color w:val="000000"/>
              </w:rPr>
              <w:t>0</w:t>
            </w:r>
          </w:p>
        </w:tc>
      </w:tr>
      <w:tr w:rsidR="00E30B46" w:rsidRPr="006A3C80" w:rsidTr="00B467C0">
        <w:tc>
          <w:tcPr>
            <w:tcW w:w="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0B46" w:rsidRPr="006A3C80" w:rsidRDefault="00E30B46">
            <w:pPr>
              <w:jc w:val="center"/>
            </w:pPr>
          </w:p>
        </w:tc>
        <w:tc>
          <w:tcPr>
            <w:tcW w:w="33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0B46" w:rsidRPr="006A3C80" w:rsidRDefault="00E30B46">
            <w:r w:rsidRPr="006A3C80">
              <w:t xml:space="preserve">В процентах к доходам бюджета, без учета безвозмездных поступлений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B46" w:rsidRPr="006A3C80" w:rsidRDefault="00E30B46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highlight w:val="yellow"/>
              </w:rPr>
            </w:pPr>
            <w:r w:rsidRPr="006A3C80">
              <w:t>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highlight w:val="yellow"/>
              </w:rPr>
            </w:pPr>
            <w:r w:rsidRPr="006A3C80"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highlight w:val="yellow"/>
              </w:rPr>
            </w:pPr>
            <w:r w:rsidRPr="006A3C80">
              <w:t>-</w:t>
            </w:r>
          </w:p>
        </w:tc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30B46" w:rsidRPr="006A3C80" w:rsidRDefault="00E30B46">
            <w:pPr>
              <w:jc w:val="center"/>
              <w:rPr>
                <w:highlight w:val="yellow"/>
              </w:rPr>
            </w:pPr>
            <w:r w:rsidRPr="006A3C80">
              <w:t>-</w:t>
            </w:r>
          </w:p>
        </w:tc>
      </w:tr>
    </w:tbl>
    <w:p w:rsidR="00E30B46" w:rsidRDefault="00E30B46" w:rsidP="0063646F">
      <w:pPr>
        <w:spacing w:after="0"/>
        <w:ind w:firstLine="709"/>
        <w:jc w:val="both"/>
        <w:rPr>
          <w:sz w:val="26"/>
          <w:szCs w:val="26"/>
        </w:rPr>
      </w:pPr>
    </w:p>
    <w:p w:rsidR="00E30B46" w:rsidRPr="0063646F" w:rsidRDefault="00E30B46" w:rsidP="00703965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63646F">
        <w:rPr>
          <w:rFonts w:ascii="Times New Roman" w:hAnsi="Times New Roman"/>
          <w:sz w:val="24"/>
          <w:szCs w:val="24"/>
        </w:rPr>
        <w:t>Проектом решения Совета депутатов сельского поселения К</w:t>
      </w:r>
      <w:r>
        <w:rPr>
          <w:rFonts w:ascii="Times New Roman" w:hAnsi="Times New Roman"/>
          <w:sz w:val="24"/>
          <w:szCs w:val="24"/>
        </w:rPr>
        <w:t>уликовское</w:t>
      </w:r>
      <w:r w:rsidRPr="0063646F">
        <w:rPr>
          <w:rFonts w:ascii="Times New Roman" w:hAnsi="Times New Roman"/>
          <w:sz w:val="24"/>
          <w:szCs w:val="24"/>
        </w:rPr>
        <w:t xml:space="preserve"> «Об утверждении бюджета сельского поселения К</w:t>
      </w:r>
      <w:r>
        <w:rPr>
          <w:rFonts w:ascii="Times New Roman" w:hAnsi="Times New Roman"/>
          <w:sz w:val="24"/>
          <w:szCs w:val="24"/>
        </w:rPr>
        <w:t xml:space="preserve">уликовское </w:t>
      </w:r>
      <w:r w:rsidRPr="0063646F">
        <w:rPr>
          <w:rFonts w:ascii="Times New Roman" w:hAnsi="Times New Roman"/>
          <w:sz w:val="24"/>
          <w:szCs w:val="24"/>
        </w:rPr>
        <w:t>Дмитровского муниципального района Московской области на 2014 год и плановый период 2015-2016 годов» планируется принять</w:t>
      </w:r>
      <w:r>
        <w:rPr>
          <w:rFonts w:ascii="Times New Roman" w:hAnsi="Times New Roman"/>
          <w:sz w:val="24"/>
          <w:szCs w:val="24"/>
        </w:rPr>
        <w:t xml:space="preserve"> бездефицитный </w:t>
      </w:r>
      <w:r w:rsidRPr="0063646F">
        <w:rPr>
          <w:rFonts w:ascii="Times New Roman" w:hAnsi="Times New Roman"/>
          <w:sz w:val="24"/>
          <w:szCs w:val="24"/>
        </w:rPr>
        <w:t xml:space="preserve"> бюджет</w:t>
      </w:r>
      <w:r>
        <w:rPr>
          <w:rFonts w:ascii="Times New Roman" w:hAnsi="Times New Roman"/>
          <w:sz w:val="24"/>
          <w:szCs w:val="24"/>
        </w:rPr>
        <w:t>.</w:t>
      </w:r>
      <w:r w:rsidRPr="0063646F">
        <w:rPr>
          <w:rFonts w:ascii="Times New Roman" w:hAnsi="Times New Roman"/>
          <w:sz w:val="24"/>
          <w:szCs w:val="24"/>
        </w:rPr>
        <w:t xml:space="preserve"> Таким образом, согласно ст.33 Бюджетного кодекса соблюден принцип сбалансированности бюджета сельского поселения К</w:t>
      </w:r>
      <w:r>
        <w:rPr>
          <w:rFonts w:ascii="Times New Roman" w:hAnsi="Times New Roman"/>
          <w:sz w:val="24"/>
          <w:szCs w:val="24"/>
        </w:rPr>
        <w:t>уликовское</w:t>
      </w:r>
      <w:r w:rsidRPr="0063646F">
        <w:rPr>
          <w:rFonts w:ascii="Times New Roman" w:hAnsi="Times New Roman"/>
          <w:sz w:val="24"/>
          <w:szCs w:val="24"/>
        </w:rPr>
        <w:t xml:space="preserve"> Дмитровского муниципального района,  объем предусмотренных бюджетом расходов  соответствует суммарному объему доходов бюджета и поступлений источников финансирования его дефицита.</w:t>
      </w:r>
    </w:p>
    <w:p w:rsidR="00E30B46" w:rsidRDefault="00E30B46" w:rsidP="00703965">
      <w:pPr>
        <w:pStyle w:val="Style3"/>
        <w:widowControl/>
        <w:spacing w:line="240" w:lineRule="auto"/>
        <w:ind w:left="2835" w:right="922" w:firstLine="0"/>
        <w:jc w:val="both"/>
        <w:rPr>
          <w:b/>
        </w:rPr>
      </w:pPr>
      <w:r>
        <w:rPr>
          <w:b/>
          <w:lang w:val="en-US"/>
        </w:rPr>
        <w:t>II</w:t>
      </w:r>
      <w:r>
        <w:rPr>
          <w:b/>
        </w:rPr>
        <w:t>. Доходная часть проекта бюджета сельского</w:t>
      </w:r>
    </w:p>
    <w:p w:rsidR="00E30B46" w:rsidRDefault="00E30B46" w:rsidP="00703965">
      <w:pPr>
        <w:pStyle w:val="Style3"/>
        <w:widowControl/>
        <w:spacing w:line="240" w:lineRule="auto"/>
        <w:ind w:left="1985" w:right="922" w:firstLine="900"/>
        <w:jc w:val="both"/>
        <w:rPr>
          <w:b/>
        </w:rPr>
      </w:pPr>
      <w:r>
        <w:rPr>
          <w:b/>
        </w:rPr>
        <w:t>поселения Куликовское на 2014-2016 годы</w:t>
      </w:r>
    </w:p>
    <w:p w:rsidR="00E30B46" w:rsidRDefault="00E30B46" w:rsidP="00703965">
      <w:pPr>
        <w:pStyle w:val="Style3"/>
        <w:widowControl/>
        <w:spacing w:line="240" w:lineRule="auto"/>
        <w:ind w:left="1985" w:right="922" w:firstLine="900"/>
        <w:jc w:val="both"/>
      </w:pPr>
    </w:p>
    <w:p w:rsidR="00E30B46" w:rsidRPr="0063646F" w:rsidRDefault="00E30B46" w:rsidP="0063646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63646F">
        <w:rPr>
          <w:rFonts w:ascii="Times New Roman" w:hAnsi="Times New Roman"/>
          <w:sz w:val="24"/>
          <w:szCs w:val="24"/>
        </w:rPr>
        <w:t>Формирование доходной части бюджета сельского поселения К</w:t>
      </w:r>
      <w:r>
        <w:rPr>
          <w:rFonts w:ascii="Times New Roman" w:hAnsi="Times New Roman"/>
          <w:sz w:val="24"/>
          <w:szCs w:val="24"/>
        </w:rPr>
        <w:t>уликовское</w:t>
      </w:r>
      <w:r w:rsidRPr="0063646F">
        <w:rPr>
          <w:rFonts w:ascii="Times New Roman" w:hAnsi="Times New Roman"/>
          <w:sz w:val="24"/>
          <w:szCs w:val="24"/>
        </w:rPr>
        <w:t xml:space="preserve"> на 2014 год и плановый период осуществлено исходя из основных направлений налоговой и бюджетной политики, а также оценки ожидаемого поступления налоговых и других обязательных платежей в бюджет сельского поселения К</w:t>
      </w:r>
      <w:r>
        <w:rPr>
          <w:rFonts w:ascii="Times New Roman" w:hAnsi="Times New Roman"/>
          <w:sz w:val="24"/>
          <w:szCs w:val="24"/>
        </w:rPr>
        <w:t>уликовское</w:t>
      </w:r>
      <w:r w:rsidRPr="0063646F">
        <w:rPr>
          <w:rFonts w:ascii="Times New Roman" w:hAnsi="Times New Roman"/>
          <w:sz w:val="24"/>
          <w:szCs w:val="24"/>
        </w:rPr>
        <w:t xml:space="preserve"> в 2013 году.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>При формировании проекта бюджета учтено налоговое законодательство, действующее на момент составления проекта бюджета, а также изменения и дополнения в законодательство о налогах и сборах, вступающее в действие с 1 января 2014 года.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>В представленном проекте бюджета доходы на 2014 год составляют 49313,5 тыс. рублей, исходя из прогнозируемого объема налоговых и неналоговых доходов в сумме 49038,5 тыс. рублей и безвозмездных поступлений – 275,9 тыс. рублей, в том числе из федерального бюджета 267,0 тыс.руб. на осуществление первичного воинского учета на территориях, где отсутствуют военные комиссариаты, из бюджета Московской области 8,0 тыс.руб. в виде дотации на выравнивание бюджетной обеспеченности. Доля налоговых и неналоговых доходов – 99,4% от общей суммы проекта бюджета на 2014 год, что значительно выше уровня ожидаемого исполнения бюджета 2013 года, рост составил 277,4%. Это обусловлено тем, что законодательством Московской области о бюджете на 2014-2016 годы увеличен дополнительный норматив по отчислению налога на доходы физических лиц с 3,1% в 2013 году до 31% в 2014 году и плановом периоде.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 xml:space="preserve">Доходы на 2015 год предусмотрены с ростом к предыдущему году на 673,3 тыс. рублей или на 1,4%, в том числе рост налоговых и неналоговых доходов бюджета определен в этой же сумме. Доходы на 2016 год также предусмотрены с ростом на 1,1% к предыдущему году на сумму 566,2 тыс.руб.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 xml:space="preserve">Рост доходной части соответствует данным прогноза социально-экономического развития поселения на 2014-2016 годы, в котором наблюдается положительная динамика.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</w:p>
    <w:p w:rsidR="00E30B46" w:rsidRDefault="00E30B46" w:rsidP="00B8586F">
      <w:pPr>
        <w:pStyle w:val="Style3"/>
        <w:widowControl/>
        <w:spacing w:line="240" w:lineRule="auto"/>
        <w:ind w:firstLine="284"/>
        <w:jc w:val="both"/>
        <w:rPr>
          <w:b/>
        </w:rPr>
      </w:pPr>
      <w:r>
        <w:rPr>
          <w:b/>
        </w:rPr>
        <w:t>Структура доходов бюджета сельского поселения Куликовское представлена в таблице 2</w:t>
      </w:r>
    </w:p>
    <w:p w:rsidR="00E30B46" w:rsidRDefault="00E30B46" w:rsidP="00B8586F">
      <w:pPr>
        <w:pStyle w:val="Style3"/>
        <w:widowControl/>
        <w:spacing w:line="240" w:lineRule="auto"/>
        <w:ind w:firstLine="900"/>
        <w:jc w:val="both"/>
      </w:pPr>
      <w:r>
        <w:t xml:space="preserve">                                                                                                                              Таблица 2</w:t>
      </w:r>
    </w:p>
    <w:p w:rsidR="00E30B46" w:rsidRDefault="00E30B46" w:rsidP="00B8586F">
      <w:pPr>
        <w:pStyle w:val="Style3"/>
        <w:widowControl/>
        <w:spacing w:line="240" w:lineRule="auto"/>
        <w:ind w:firstLine="900"/>
        <w:jc w:val="right"/>
      </w:pPr>
    </w:p>
    <w:tbl>
      <w:tblPr>
        <w:tblW w:w="10110" w:type="dxa"/>
        <w:tblInd w:w="-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40"/>
        <w:gridCol w:w="1052"/>
        <w:gridCol w:w="625"/>
        <w:gridCol w:w="1101"/>
        <w:gridCol w:w="763"/>
        <w:gridCol w:w="1020"/>
        <w:gridCol w:w="828"/>
        <w:gridCol w:w="1072"/>
        <w:gridCol w:w="609"/>
      </w:tblGrid>
      <w:tr w:rsidR="00E30B46" w:rsidRPr="006A3C80" w:rsidTr="00194F17">
        <w:trPr>
          <w:trHeight w:val="571"/>
        </w:trPr>
        <w:tc>
          <w:tcPr>
            <w:tcW w:w="3042" w:type="dxa"/>
            <w:vMerge w:val="restart"/>
          </w:tcPr>
          <w:p w:rsidR="00E30B46" w:rsidRPr="006A3C80" w:rsidRDefault="00E30B46" w:rsidP="00194F17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678" w:type="dxa"/>
            <w:gridSpan w:val="2"/>
          </w:tcPr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2013 год</w:t>
            </w:r>
          </w:p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1865" w:type="dxa"/>
            <w:gridSpan w:val="2"/>
          </w:tcPr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2014 год</w:t>
            </w:r>
          </w:p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 xml:space="preserve"> прогноз</w:t>
            </w:r>
          </w:p>
        </w:tc>
        <w:tc>
          <w:tcPr>
            <w:tcW w:w="1848" w:type="dxa"/>
            <w:gridSpan w:val="2"/>
          </w:tcPr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 xml:space="preserve">2015 год </w:t>
            </w:r>
          </w:p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прогноз</w:t>
            </w:r>
          </w:p>
        </w:tc>
        <w:tc>
          <w:tcPr>
            <w:tcW w:w="1682" w:type="dxa"/>
            <w:gridSpan w:val="2"/>
          </w:tcPr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2016 год</w:t>
            </w:r>
          </w:p>
          <w:p w:rsidR="00E30B46" w:rsidRPr="006A3C80" w:rsidRDefault="00E30B46" w:rsidP="00B8586F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 xml:space="preserve"> прогноз</w:t>
            </w:r>
          </w:p>
        </w:tc>
      </w:tr>
      <w:tr w:rsidR="00E30B46" w:rsidRPr="006A3C80" w:rsidTr="00194F17">
        <w:trPr>
          <w:trHeight w:val="240"/>
        </w:trPr>
        <w:tc>
          <w:tcPr>
            <w:tcW w:w="3042" w:type="dxa"/>
            <w:vMerge/>
            <w:vAlign w:val="center"/>
          </w:tcPr>
          <w:p w:rsidR="00E30B46" w:rsidRPr="006A3C80" w:rsidRDefault="00E30B46" w:rsidP="00293F41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:rsidR="00E30B46" w:rsidRPr="006A3C80" w:rsidRDefault="00E30B46" w:rsidP="00293F41">
            <w:pPr>
              <w:spacing w:after="0"/>
              <w:ind w:left="-31" w:firstLine="31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тыс. руб.</w:t>
            </w:r>
          </w:p>
        </w:tc>
        <w:tc>
          <w:tcPr>
            <w:tcW w:w="625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102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тыс. руб.</w:t>
            </w:r>
          </w:p>
        </w:tc>
        <w:tc>
          <w:tcPr>
            <w:tcW w:w="763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20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тыс. руб.</w:t>
            </w:r>
          </w:p>
        </w:tc>
        <w:tc>
          <w:tcPr>
            <w:tcW w:w="828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%</w:t>
            </w:r>
          </w:p>
        </w:tc>
        <w:tc>
          <w:tcPr>
            <w:tcW w:w="1073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тыс. руб.</w:t>
            </w:r>
          </w:p>
        </w:tc>
        <w:tc>
          <w:tcPr>
            <w:tcW w:w="609" w:type="dxa"/>
          </w:tcPr>
          <w:p w:rsidR="00E30B46" w:rsidRPr="006A3C80" w:rsidRDefault="00E30B46" w:rsidP="00293F41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%</w:t>
            </w:r>
          </w:p>
        </w:tc>
      </w:tr>
      <w:tr w:rsidR="00E30B46" w:rsidRPr="006A3C80" w:rsidTr="00194F17">
        <w:trPr>
          <w:trHeight w:val="208"/>
        </w:trPr>
        <w:tc>
          <w:tcPr>
            <w:tcW w:w="3042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</w:t>
            </w:r>
          </w:p>
        </w:tc>
        <w:tc>
          <w:tcPr>
            <w:tcW w:w="1053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</w:t>
            </w:r>
          </w:p>
        </w:tc>
        <w:tc>
          <w:tcPr>
            <w:tcW w:w="625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</w:t>
            </w:r>
          </w:p>
        </w:tc>
        <w:tc>
          <w:tcPr>
            <w:tcW w:w="1102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</w:t>
            </w:r>
          </w:p>
        </w:tc>
        <w:tc>
          <w:tcPr>
            <w:tcW w:w="763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</w:t>
            </w:r>
          </w:p>
        </w:tc>
        <w:tc>
          <w:tcPr>
            <w:tcW w:w="1020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</w:t>
            </w:r>
          </w:p>
        </w:tc>
        <w:tc>
          <w:tcPr>
            <w:tcW w:w="828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</w:t>
            </w:r>
          </w:p>
        </w:tc>
        <w:tc>
          <w:tcPr>
            <w:tcW w:w="1073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10</w:t>
            </w:r>
          </w:p>
        </w:tc>
        <w:tc>
          <w:tcPr>
            <w:tcW w:w="609" w:type="dxa"/>
            <w:vAlign w:val="center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</w:t>
            </w:r>
          </w:p>
        </w:tc>
      </w:tr>
      <w:tr w:rsidR="00E30B46" w:rsidRPr="006A3C80" w:rsidTr="00194F17">
        <w:trPr>
          <w:trHeight w:val="1467"/>
        </w:trPr>
        <w:tc>
          <w:tcPr>
            <w:tcW w:w="3042" w:type="dxa"/>
          </w:tcPr>
          <w:p w:rsidR="00E30B46" w:rsidRPr="006A3C80" w:rsidRDefault="00E30B46" w:rsidP="00293F41">
            <w:pPr>
              <w:spacing w:after="0"/>
              <w:jc w:val="both"/>
              <w:rPr>
                <w:b/>
                <w:color w:val="000000"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 xml:space="preserve">Налоговые доходы, 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в том числе: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НДФЛ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налоги на товары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налог на совокупный доход (ЕСНХ)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налог на имущество физ. лиц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земельный налог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15592,0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7860,0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932,0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6500</w:t>
            </w:r>
          </w:p>
        </w:tc>
        <w:tc>
          <w:tcPr>
            <w:tcW w:w="625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37,6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18,9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0,7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15,7</w:t>
            </w:r>
          </w:p>
        </w:tc>
        <w:tc>
          <w:tcPr>
            <w:tcW w:w="1102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47040,5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23981,0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932,0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13710,5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95,3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48,6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16,46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1,9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27,8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47658,8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24580,5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941,3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13720,0</w:t>
            </w:r>
          </w:p>
        </w:tc>
        <w:tc>
          <w:tcPr>
            <w:tcW w:w="828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95,3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49,2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1,9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27,4</w:t>
            </w:r>
          </w:p>
        </w:tc>
        <w:tc>
          <w:tcPr>
            <w:tcW w:w="107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48274,0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25180,0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957,0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13720,0</w:t>
            </w:r>
          </w:p>
        </w:tc>
        <w:tc>
          <w:tcPr>
            <w:tcW w:w="609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95,5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49,8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1,9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27,1</w:t>
            </w:r>
          </w:p>
        </w:tc>
      </w:tr>
      <w:tr w:rsidR="00E30B46" w:rsidRPr="006A3C80" w:rsidTr="00194F17">
        <w:trPr>
          <w:trHeight w:val="1828"/>
        </w:trPr>
        <w:tc>
          <w:tcPr>
            <w:tcW w:w="3042" w:type="dxa"/>
          </w:tcPr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Неналоговые доходы</w:t>
            </w:r>
            <w:r w:rsidRPr="006A3C80">
              <w:rPr>
                <w:sz w:val="18"/>
                <w:szCs w:val="18"/>
              </w:rPr>
              <w:t>,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в том числе: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доходы от использования имущества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штрафы, санкции, возмещение ущерба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доходы от компенсации затрат бюджетов поселений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05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2089,0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780,0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1105,0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39,0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65,0</w:t>
            </w:r>
          </w:p>
        </w:tc>
        <w:tc>
          <w:tcPr>
            <w:tcW w:w="625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5,0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1,9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2,7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0,1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0,1</w:t>
            </w:r>
          </w:p>
        </w:tc>
        <w:tc>
          <w:tcPr>
            <w:tcW w:w="1102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1998,0</w:t>
            </w:r>
          </w:p>
          <w:p w:rsidR="00E30B46" w:rsidRPr="006A3C80" w:rsidRDefault="00E30B46" w:rsidP="00293F41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875,0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76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1,7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20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1998,0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875,0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828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1,7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07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1998,0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875,0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1100,0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609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1,7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2,2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0,0</w:t>
            </w:r>
          </w:p>
        </w:tc>
      </w:tr>
      <w:tr w:rsidR="00E30B46" w:rsidRPr="006A3C80" w:rsidTr="00194F17">
        <w:trPr>
          <w:trHeight w:val="1546"/>
        </w:trPr>
        <w:tc>
          <w:tcPr>
            <w:tcW w:w="3042" w:type="dxa"/>
          </w:tcPr>
          <w:p w:rsidR="00E30B46" w:rsidRPr="006A3C80" w:rsidRDefault="00E30B46" w:rsidP="00293F41">
            <w:pPr>
              <w:spacing w:after="0"/>
              <w:jc w:val="both"/>
              <w:rPr>
                <w:b/>
                <w:color w:val="000000"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Безвозмездные поступления,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в том числе: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дотации  бюджетам поселений на выравнивание бюджетной. обеспеченности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дотации на поддержку мер по обеспечению сбалансированности бюджетов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прочие субсидии</w:t>
            </w:r>
          </w:p>
          <w:p w:rsidR="00E30B46" w:rsidRPr="006A3C80" w:rsidRDefault="00E30B46" w:rsidP="00293F41">
            <w:pPr>
              <w:spacing w:after="0"/>
              <w:jc w:val="both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E30B46" w:rsidRPr="006A3C80" w:rsidRDefault="00E30B46" w:rsidP="00293F41">
            <w:pPr>
              <w:spacing w:after="0"/>
              <w:jc w:val="both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05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23794,0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49,0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6726,0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5079,0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236,0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11704,0</w:t>
            </w:r>
          </w:p>
        </w:tc>
        <w:tc>
          <w:tcPr>
            <w:tcW w:w="625" w:type="dxa"/>
          </w:tcPr>
          <w:p w:rsidR="00E30B46" w:rsidRPr="006A3C80" w:rsidRDefault="00E30B46" w:rsidP="00293F41">
            <w:pPr>
              <w:spacing w:after="0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57,4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0,1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16,2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12,2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0,6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28,2</w:t>
            </w:r>
          </w:p>
        </w:tc>
        <w:tc>
          <w:tcPr>
            <w:tcW w:w="1102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275,0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76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0,5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  <w:tc>
          <w:tcPr>
            <w:tcW w:w="1020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330,0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63,0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828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0,6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0,1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  <w:tc>
          <w:tcPr>
            <w:tcW w:w="1073" w:type="dxa"/>
          </w:tcPr>
          <w:p w:rsidR="00E30B46" w:rsidRPr="006A3C80" w:rsidRDefault="00E30B46" w:rsidP="00293F41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281,0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14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609" w:type="dxa"/>
          </w:tcPr>
          <w:p w:rsidR="00E30B46" w:rsidRPr="006A3C80" w:rsidRDefault="00E30B46" w:rsidP="00293F41">
            <w:pPr>
              <w:spacing w:after="0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0,5</w:t>
            </w:r>
          </w:p>
          <w:p w:rsidR="00E30B46" w:rsidRPr="006A3C80" w:rsidRDefault="00E30B46" w:rsidP="00293F41">
            <w:pPr>
              <w:spacing w:after="0"/>
              <w:rPr>
                <w:b/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0,03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-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0,47</w:t>
            </w:r>
          </w:p>
          <w:p w:rsidR="00E30B46" w:rsidRPr="006A3C80" w:rsidRDefault="00E30B46" w:rsidP="00293F41">
            <w:pPr>
              <w:spacing w:after="0"/>
              <w:rPr>
                <w:sz w:val="18"/>
                <w:szCs w:val="18"/>
              </w:rPr>
            </w:pPr>
          </w:p>
        </w:tc>
      </w:tr>
      <w:tr w:rsidR="00E30B46" w:rsidRPr="006A3C80" w:rsidTr="00194F17">
        <w:trPr>
          <w:trHeight w:val="183"/>
        </w:trPr>
        <w:tc>
          <w:tcPr>
            <w:tcW w:w="3042" w:type="dxa"/>
          </w:tcPr>
          <w:p w:rsidR="00E30B46" w:rsidRPr="006A3C80" w:rsidRDefault="00E30B46" w:rsidP="00194F17">
            <w:pPr>
              <w:jc w:val="both"/>
              <w:rPr>
                <w:b/>
                <w:color w:val="000000"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1053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41475,0</w:t>
            </w:r>
          </w:p>
        </w:tc>
        <w:tc>
          <w:tcPr>
            <w:tcW w:w="625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102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49313,5</w:t>
            </w:r>
          </w:p>
        </w:tc>
        <w:tc>
          <w:tcPr>
            <w:tcW w:w="763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20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49986,8</w:t>
            </w:r>
          </w:p>
        </w:tc>
        <w:tc>
          <w:tcPr>
            <w:tcW w:w="828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1073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50553,0</w:t>
            </w:r>
          </w:p>
        </w:tc>
        <w:tc>
          <w:tcPr>
            <w:tcW w:w="609" w:type="dxa"/>
          </w:tcPr>
          <w:p w:rsidR="00E30B46" w:rsidRPr="006A3C80" w:rsidRDefault="00E30B46" w:rsidP="00194F17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</w:tr>
    </w:tbl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>В доходах бюджета поселения на 2014 год и плановый период 2015-2016 годов в целом учтены все доходы, отнесенные Бюджетным кодексом Российской Федерации к доходным источникам местного бюджета.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</w:p>
    <w:p w:rsidR="00E30B46" w:rsidRDefault="00E30B46" w:rsidP="00293F41">
      <w:pPr>
        <w:pStyle w:val="Style3"/>
        <w:widowControl/>
        <w:spacing w:line="240" w:lineRule="auto"/>
        <w:ind w:firstLine="900"/>
        <w:jc w:val="both"/>
        <w:rPr>
          <w:b/>
        </w:rPr>
      </w:pPr>
      <w:r>
        <w:rPr>
          <w:b/>
        </w:rPr>
        <w:t xml:space="preserve">Налоговые доходы: </w:t>
      </w:r>
    </w:p>
    <w:p w:rsidR="00E30B46" w:rsidRPr="007146D1" w:rsidRDefault="00E30B46" w:rsidP="007146D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6" w:name="_GoBack"/>
      <w:bookmarkEnd w:id="6"/>
      <w:r>
        <w:rPr>
          <w:sz w:val="24"/>
          <w:szCs w:val="24"/>
        </w:rPr>
        <w:t xml:space="preserve">                    1)  </w:t>
      </w:r>
      <w:r w:rsidRPr="007146D1">
        <w:rPr>
          <w:sz w:val="24"/>
          <w:szCs w:val="24"/>
        </w:rPr>
        <w:t xml:space="preserve">Основную долю доходов местного бюджета в 2014-2016 годах будет составлять </w:t>
      </w:r>
      <w:r w:rsidRPr="007146D1">
        <w:rPr>
          <w:i/>
          <w:sz w:val="24"/>
          <w:szCs w:val="24"/>
          <w:u w:val="single"/>
        </w:rPr>
        <w:t xml:space="preserve"> налог на доходы физических лиц. </w:t>
      </w:r>
      <w:r w:rsidRPr="007146D1">
        <w:rPr>
          <w:sz w:val="24"/>
          <w:szCs w:val="24"/>
        </w:rPr>
        <w:t xml:space="preserve"> В 2014 году поступление прогнозируется  сумме 23981,0 тыс. рублей при нормативе отчислений 10% согласно Бюджетному кодексу и по дополнительному нормативу, установленному законодательством Московской области о бюджете на 2014-2016годы, в размере 31%.  Удельный вес планируемых поступлений составит 48,6% доходов бюджета.</w:t>
      </w:r>
      <w:r w:rsidRPr="007146D1">
        <w:rPr>
          <w:rFonts w:ascii="Times New Roman" w:hAnsi="Times New Roman"/>
          <w:sz w:val="24"/>
          <w:szCs w:val="24"/>
          <w:lang w:eastAsia="ru-RU"/>
        </w:rPr>
        <w:t xml:space="preserve"> Планируется увеличение поступлений данного налога по сравнению с оценкой исполнения 2013 года на 16121,0 тыс. руб. или на 305%, в связи с увеличением норматива отчисления с 3,2% до 31%.</w:t>
      </w:r>
    </w:p>
    <w:p w:rsidR="00E30B46" w:rsidRDefault="00E30B46" w:rsidP="00EC5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AD1">
        <w:rPr>
          <w:rFonts w:ascii="Times New Roman" w:hAnsi="Times New Roman"/>
          <w:sz w:val="24"/>
          <w:szCs w:val="24"/>
          <w:lang w:eastAsia="ru-RU"/>
        </w:rPr>
        <w:t xml:space="preserve">Объем доходов НДФЛ без учета объема поступлений налоговых доходов по дополнительным нормативам отчислений в 2013 году составляет: </w:t>
      </w:r>
    </w:p>
    <w:p w:rsidR="00E30B46" w:rsidRDefault="00E30B46" w:rsidP="00EC5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7860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 /</w:t>
      </w:r>
      <w:r>
        <w:rPr>
          <w:rFonts w:ascii="Times New Roman" w:hAnsi="Times New Roman"/>
          <w:sz w:val="24"/>
          <w:szCs w:val="24"/>
          <w:lang w:eastAsia="ru-RU"/>
        </w:rPr>
        <w:t>13,2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% *10% = </w:t>
      </w:r>
      <w:r>
        <w:rPr>
          <w:rFonts w:ascii="Times New Roman" w:hAnsi="Times New Roman"/>
          <w:sz w:val="24"/>
          <w:szCs w:val="24"/>
          <w:lang w:eastAsia="ru-RU"/>
        </w:rPr>
        <w:t>5954,5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 тыс. рублей;</w:t>
      </w:r>
    </w:p>
    <w:p w:rsidR="00E30B46" w:rsidRDefault="00E30B46" w:rsidP="00EC5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6C7AD1">
        <w:rPr>
          <w:rFonts w:ascii="Times New Roman" w:hAnsi="Times New Roman"/>
          <w:sz w:val="24"/>
          <w:szCs w:val="24"/>
          <w:lang w:eastAsia="ru-RU"/>
        </w:rPr>
        <w:t>Объем доходов НДФЛ без учета объема поступлений налоговых доходов по дополнительным нормативам отчислений в 2014 году составляет:</w:t>
      </w:r>
    </w:p>
    <w:p w:rsidR="00E30B46" w:rsidRDefault="00E30B46" w:rsidP="00EC5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23981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 / </w:t>
      </w:r>
      <w:r>
        <w:rPr>
          <w:rFonts w:ascii="Times New Roman" w:hAnsi="Times New Roman"/>
          <w:sz w:val="24"/>
          <w:szCs w:val="24"/>
          <w:lang w:eastAsia="ru-RU"/>
        </w:rPr>
        <w:t>41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% *10% = </w:t>
      </w:r>
      <w:r>
        <w:rPr>
          <w:rFonts w:ascii="Times New Roman" w:hAnsi="Times New Roman"/>
          <w:sz w:val="24"/>
          <w:szCs w:val="24"/>
          <w:lang w:eastAsia="ru-RU"/>
        </w:rPr>
        <w:t>5849,0</w:t>
      </w:r>
      <w:r w:rsidRPr="006C7AD1">
        <w:rPr>
          <w:rFonts w:ascii="Times New Roman" w:hAnsi="Times New Roman"/>
          <w:sz w:val="24"/>
          <w:szCs w:val="24"/>
          <w:lang w:eastAsia="ru-RU"/>
        </w:rPr>
        <w:t xml:space="preserve"> тыс. рублей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E30B46" w:rsidRPr="00EC5C03" w:rsidRDefault="00E30B46" w:rsidP="00EC5C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C7AD1">
        <w:rPr>
          <w:rFonts w:ascii="Times New Roman" w:hAnsi="Times New Roman"/>
          <w:sz w:val="24"/>
          <w:szCs w:val="24"/>
          <w:lang w:eastAsia="ru-RU"/>
        </w:rPr>
        <w:t xml:space="preserve">В сопоставимых цифрах доход по НДФЛ в 2014 году </w:t>
      </w:r>
      <w:r>
        <w:rPr>
          <w:rFonts w:ascii="Times New Roman" w:hAnsi="Times New Roman"/>
          <w:sz w:val="24"/>
          <w:szCs w:val="24"/>
          <w:lang w:eastAsia="ru-RU"/>
        </w:rPr>
        <w:t xml:space="preserve">по отношению к 2013 году не увеличивается. </w:t>
      </w:r>
      <w:r w:rsidRPr="00EC5C03">
        <w:rPr>
          <w:sz w:val="24"/>
          <w:szCs w:val="24"/>
        </w:rPr>
        <w:t xml:space="preserve"> </w:t>
      </w:r>
      <w:r w:rsidRPr="00EC5C03">
        <w:rPr>
          <w:rFonts w:ascii="Times New Roman" w:hAnsi="Times New Roman"/>
          <w:sz w:val="24"/>
          <w:szCs w:val="24"/>
        </w:rPr>
        <w:t xml:space="preserve">В плановом периоде предполагается рост доходов по налогу на доходы физических лиц на </w:t>
      </w:r>
      <w:r>
        <w:rPr>
          <w:rFonts w:ascii="Times New Roman" w:hAnsi="Times New Roman"/>
          <w:sz w:val="24"/>
          <w:szCs w:val="24"/>
        </w:rPr>
        <w:t>2,5</w:t>
      </w:r>
      <w:r w:rsidRPr="00EC5C03">
        <w:rPr>
          <w:rFonts w:ascii="Times New Roman" w:hAnsi="Times New Roman"/>
          <w:sz w:val="24"/>
          <w:szCs w:val="24"/>
        </w:rPr>
        <w:t xml:space="preserve">% ежегодно, что </w:t>
      </w:r>
      <w:r>
        <w:rPr>
          <w:rFonts w:ascii="Times New Roman" w:hAnsi="Times New Roman"/>
          <w:sz w:val="24"/>
          <w:szCs w:val="24"/>
        </w:rPr>
        <w:t xml:space="preserve">ниже </w:t>
      </w:r>
      <w:r w:rsidRPr="00EC5C03">
        <w:rPr>
          <w:rFonts w:ascii="Times New Roman" w:hAnsi="Times New Roman"/>
          <w:sz w:val="24"/>
          <w:szCs w:val="24"/>
        </w:rPr>
        <w:t>темп</w:t>
      </w:r>
      <w:r>
        <w:rPr>
          <w:rFonts w:ascii="Times New Roman" w:hAnsi="Times New Roman"/>
          <w:sz w:val="24"/>
          <w:szCs w:val="24"/>
        </w:rPr>
        <w:t>ов</w:t>
      </w:r>
      <w:r w:rsidRPr="00EC5C03">
        <w:rPr>
          <w:rFonts w:ascii="Times New Roman" w:hAnsi="Times New Roman"/>
          <w:sz w:val="24"/>
          <w:szCs w:val="24"/>
        </w:rPr>
        <w:t xml:space="preserve"> роста фонда заработной платы согласно прогнозу социально-экономического развития на 2014-2016г.г.</w:t>
      </w:r>
    </w:p>
    <w:p w:rsidR="00E30B46" w:rsidRDefault="00E30B46" w:rsidP="00703965">
      <w:pPr>
        <w:pStyle w:val="Style3"/>
        <w:widowControl/>
        <w:spacing w:line="240" w:lineRule="auto"/>
        <w:ind w:firstLine="0"/>
        <w:jc w:val="both"/>
      </w:pPr>
      <w:r>
        <w:t xml:space="preserve">              2)   </w:t>
      </w:r>
      <w:r w:rsidRPr="007146D1">
        <w:rPr>
          <w:i/>
          <w:u w:val="single"/>
        </w:rPr>
        <w:t>Зе</w:t>
      </w:r>
      <w:r>
        <w:rPr>
          <w:i/>
          <w:u w:val="single"/>
        </w:rPr>
        <w:t>мельный налог:</w:t>
      </w:r>
      <w:r>
        <w:t xml:space="preserve">  в 2014г. прогнозируется в сумме 13710,5 тыс.руб., рост поступлений по отношению к 2013 году прогнозируется на 210% или на 7210,5 тыс.руб. Увеличение суммы дохода планируется за счет поступления в бюджет поселения задолженности по земельному налогу и за счет вовлечения в налоговый оборот земельных участков, в отношении которых отсутствовали сведения о категории земель и виде использования. В бюджете на 2015-2016 годы доходы по земельному налогу планируются на уровне 2014 года. 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>3)</w:t>
      </w:r>
      <w:r>
        <w:rPr>
          <w:i/>
          <w:u w:val="single"/>
        </w:rPr>
        <w:t xml:space="preserve"> Доходы от уплаты а</w:t>
      </w:r>
      <w:r>
        <w:rPr>
          <w:rStyle w:val="s1"/>
          <w:i/>
          <w:u w:val="single"/>
        </w:rPr>
        <w:t>кцизов на автомобильный и прямогонный бензин, дизельное топливо, моторные масла для дизельных и карбюраторных двигателей</w:t>
      </w:r>
      <w:r>
        <w:rPr>
          <w:rStyle w:val="s1"/>
        </w:rPr>
        <w:t xml:space="preserve"> (далее по тексту – акцизы ГСМ) с</w:t>
      </w:r>
      <w:r>
        <w:t>огласно пункту 3.1. ст.58 Бюджетного кодекса с 1 января 2014 года в местные бюджеты зачисляются не менее 10% налоговых доходов из бюджета Московской области от указанного налога. Размер указанных нормативов отчислений в бюджеты устанавливаются исходя из протяженности автомобильных дорог местного значения, находящихся в муниципальной собственности. В бюджет сельского поселения Куликовское, начиная с 1 января 2014 года и плановый период 2015-2016 г., будут зачисляться акцизы по нормативу 0,4059%. Общая протяженность автомобильных дорог общего пользования местного значения сельского поселения Куликовское 91,3 км. В  2014 году в бюджет поселения планируется поступление доходов от акцизов в сумме 8117 тыс. рублей. В плановом периоде доходы по данному налогу прогнозируются на уровне 2014 года.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>4</w:t>
      </w:r>
      <w:r>
        <w:rPr>
          <w:i/>
          <w:u w:val="single"/>
        </w:rPr>
        <w:t>)Налог на имущество физических лиц</w:t>
      </w:r>
      <w:r>
        <w:t xml:space="preserve"> в 2014 году прогнозируется в сумме 932,0тыс. рублей, доходы планируются на уровне 2013 года. На 2015-2016 годы прогнозируется равномерный рост дохода в размере 1% ежегодно.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  <w:r>
        <w:t xml:space="preserve">5) </w:t>
      </w:r>
      <w:r w:rsidRPr="00974242">
        <w:rPr>
          <w:i/>
          <w:u w:val="single"/>
        </w:rPr>
        <w:t>Единый сельско-хозяйственный налог</w:t>
      </w:r>
      <w:r>
        <w:t xml:space="preserve"> прогнозируется на уровне 2013 года в сумме 300,0 тыс.руб. ежегодно. </w:t>
      </w:r>
    </w:p>
    <w:p w:rsidR="00E30B46" w:rsidRDefault="00E30B46" w:rsidP="00703965">
      <w:pPr>
        <w:pStyle w:val="Style3"/>
        <w:widowControl/>
        <w:spacing w:line="240" w:lineRule="auto"/>
        <w:ind w:firstLine="900"/>
        <w:jc w:val="both"/>
      </w:pP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9"/>
          <w:b/>
        </w:rPr>
      </w:pPr>
      <w:r>
        <w:rPr>
          <w:rStyle w:val="s9"/>
          <w:b/>
        </w:rPr>
        <w:t>Неналоговые доходы.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9"/>
          <w:b/>
        </w:rPr>
      </w:pP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>В общем объеме поступлений на 2014 год удельный вес неналоговых доходов в доходах бюджета сельского поселения Куликовское составляет незначительную долю всего 4% в сумме – 1998,0 тыс. рублей.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>В составе неналоговых доходов бюджета сельского поселения Куликовское на 2014 год планируются: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 w:rsidRPr="003539A2">
        <w:rPr>
          <w:rStyle w:val="s5"/>
        </w:rPr>
        <w:t>1) доходы от использования имущества, находящегося в муниципальной собственности сельского поселения Куликовское</w:t>
      </w:r>
      <w:r>
        <w:rPr>
          <w:rStyle w:val="s5"/>
        </w:rPr>
        <w:t xml:space="preserve"> </w:t>
      </w:r>
      <w:r w:rsidRPr="003539A2">
        <w:rPr>
          <w:rStyle w:val="s5"/>
        </w:rPr>
        <w:t>в сумме 875,0 тыс. рублей</w:t>
      </w:r>
      <w:r>
        <w:rPr>
          <w:rStyle w:val="s5"/>
        </w:rPr>
        <w:t xml:space="preserve">  на уровне доходов 2013 года</w:t>
      </w:r>
      <w:r w:rsidRPr="003539A2">
        <w:rPr>
          <w:rStyle w:val="s5"/>
        </w:rPr>
        <w:t xml:space="preserve">.  </w:t>
      </w:r>
    </w:p>
    <w:p w:rsidR="00E30B46" w:rsidRPr="003539A2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 w:rsidRPr="003539A2">
        <w:rPr>
          <w:rStyle w:val="s5"/>
        </w:rPr>
        <w:t xml:space="preserve">2) доходы от продажи материальных и нематериальных активов в сумме 1100,0 тысяч рублей  на уровне 2013 года. 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 w:rsidRPr="003539A2">
        <w:rPr>
          <w:rStyle w:val="s5"/>
        </w:rPr>
        <w:t xml:space="preserve">3) </w:t>
      </w:r>
      <w:r>
        <w:rPr>
          <w:rStyle w:val="s5"/>
        </w:rPr>
        <w:t>штрафы, санкции, возмещение ущерба в сумме 23,0 тыс.руб.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 xml:space="preserve">В представленном проекте бюджета в плановом периоде 2015-2016г.г. неналоговые доходы запланированы на уровне 2014 года. 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  <w:b/>
        </w:rPr>
      </w:pPr>
      <w:r>
        <w:rPr>
          <w:rStyle w:val="s5"/>
          <w:b/>
        </w:rPr>
        <w:t>Безвозмездные поступления.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>Доходы от безвозмездных поступлений сформированы: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>- в виде субвенции бюджету поселения на осуществление первичного воинского учета на территориях, где отсутствуют военкоматы, в сумме 267,0 тыс.руб. в 2014 году и в плановом периоде. В плановом периоде безвозмездные поступления запланированы на уровне 2014 года;</w:t>
      </w:r>
    </w:p>
    <w:p w:rsidR="00E30B46" w:rsidRDefault="00E30B46" w:rsidP="00703965">
      <w:pPr>
        <w:pStyle w:val="p20"/>
        <w:spacing w:before="0" w:beforeAutospacing="0" w:after="0" w:afterAutospacing="0"/>
        <w:ind w:firstLine="851"/>
        <w:jc w:val="both"/>
        <w:rPr>
          <w:rStyle w:val="s5"/>
        </w:rPr>
      </w:pPr>
      <w:r>
        <w:rPr>
          <w:rStyle w:val="s5"/>
        </w:rPr>
        <w:t xml:space="preserve">- </w:t>
      </w:r>
      <w:r w:rsidRPr="008B3B08">
        <w:rPr>
          <w:rStyle w:val="s5"/>
        </w:rPr>
        <w:t>в виде дотации бюджетам поселений на выравнивание бюджетной обеспеченности согласно закону Московской области о бюджете на 2014 год и плановый период в 2014 году 8.0 тыс.руб. В</w:t>
      </w:r>
      <w:r>
        <w:rPr>
          <w:rStyle w:val="s5"/>
        </w:rPr>
        <w:t xml:space="preserve"> 2015-2016 годах запланированы дотации в сумме 63,0 тыс.руб. и 14.0 тыс.руб. соответственно. В проекте закона Московской области о бюджете  запланированы дотации сельскому поселению Куликовское в 2015 году 6,0 тыс.руб., в 2016 году 4 тыс.руб.  </w:t>
      </w:r>
    </w:p>
    <w:p w:rsidR="00E30B46" w:rsidRDefault="00E30B46" w:rsidP="00703965">
      <w:pPr>
        <w:pStyle w:val="Style3"/>
        <w:widowControl/>
        <w:spacing w:line="240" w:lineRule="auto"/>
        <w:ind w:left="3019" w:right="922" w:firstLine="900"/>
        <w:jc w:val="both"/>
        <w:rPr>
          <w:color w:val="FF0000"/>
        </w:rPr>
      </w:pPr>
    </w:p>
    <w:p w:rsidR="00E30B46" w:rsidRPr="00A651FF" w:rsidRDefault="00E30B46" w:rsidP="00703965">
      <w:pPr>
        <w:pStyle w:val="Style3"/>
        <w:widowControl/>
        <w:spacing w:before="77" w:line="192" w:lineRule="auto"/>
        <w:ind w:right="924" w:firstLine="902"/>
        <w:jc w:val="center"/>
        <w:rPr>
          <w:rStyle w:val="FontStyle28"/>
          <w:bCs/>
          <w:sz w:val="24"/>
        </w:rPr>
      </w:pPr>
      <w:r w:rsidRPr="00A651FF">
        <w:rPr>
          <w:rStyle w:val="FontStyle28"/>
          <w:bCs/>
          <w:sz w:val="24"/>
        </w:rPr>
        <w:t>Ш.  Расходная часть проекта бюджета сельского</w:t>
      </w:r>
    </w:p>
    <w:p w:rsidR="00E30B46" w:rsidRPr="00A651FF" w:rsidRDefault="00E30B46" w:rsidP="00703965">
      <w:pPr>
        <w:pStyle w:val="Style3"/>
        <w:widowControl/>
        <w:spacing w:before="77" w:line="192" w:lineRule="auto"/>
        <w:ind w:right="924" w:firstLine="902"/>
        <w:jc w:val="center"/>
        <w:rPr>
          <w:rStyle w:val="FontStyle28"/>
          <w:bCs/>
          <w:sz w:val="24"/>
        </w:rPr>
      </w:pPr>
      <w:r w:rsidRPr="00A651FF">
        <w:rPr>
          <w:rStyle w:val="FontStyle28"/>
          <w:bCs/>
          <w:sz w:val="24"/>
        </w:rPr>
        <w:t xml:space="preserve"> поселения Куликовское на 2014 - 2016 годы</w:t>
      </w:r>
    </w:p>
    <w:p w:rsidR="00E30B46" w:rsidRPr="008B3B08" w:rsidRDefault="00E30B46" w:rsidP="008B3B08">
      <w:pPr>
        <w:spacing w:before="120"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3B08">
        <w:rPr>
          <w:rFonts w:ascii="Times New Roman" w:hAnsi="Times New Roman"/>
          <w:sz w:val="24"/>
          <w:szCs w:val="24"/>
        </w:rPr>
        <w:t xml:space="preserve">Проектом решения расходы местного бюджета предусматриваются на 2014 год в сумме </w:t>
      </w:r>
      <w:r>
        <w:rPr>
          <w:rFonts w:ascii="Times New Roman" w:hAnsi="Times New Roman"/>
          <w:sz w:val="24"/>
          <w:szCs w:val="24"/>
        </w:rPr>
        <w:t>49313,5</w:t>
      </w:r>
      <w:r w:rsidRPr="008B3B08">
        <w:rPr>
          <w:rFonts w:ascii="Times New Roman" w:hAnsi="Times New Roman"/>
          <w:sz w:val="24"/>
          <w:szCs w:val="24"/>
        </w:rPr>
        <w:t xml:space="preserve"> тыс. рублей, на 2015 год – </w:t>
      </w:r>
      <w:r>
        <w:rPr>
          <w:rFonts w:ascii="Times New Roman" w:hAnsi="Times New Roman"/>
          <w:sz w:val="24"/>
          <w:szCs w:val="24"/>
        </w:rPr>
        <w:t>49986,8</w:t>
      </w:r>
      <w:r w:rsidRPr="008B3B08">
        <w:rPr>
          <w:rFonts w:ascii="Times New Roman" w:hAnsi="Times New Roman"/>
          <w:sz w:val="24"/>
          <w:szCs w:val="24"/>
        </w:rPr>
        <w:t xml:space="preserve"> тыс. рублей, на 2016 год – </w:t>
      </w:r>
      <w:r>
        <w:rPr>
          <w:rFonts w:ascii="Times New Roman" w:hAnsi="Times New Roman"/>
          <w:sz w:val="24"/>
          <w:szCs w:val="24"/>
        </w:rPr>
        <w:t>50553,0</w:t>
      </w:r>
      <w:r w:rsidRPr="008B3B08">
        <w:rPr>
          <w:rFonts w:ascii="Times New Roman" w:hAnsi="Times New Roman"/>
          <w:sz w:val="24"/>
          <w:szCs w:val="24"/>
        </w:rPr>
        <w:t xml:space="preserve"> тыс. рублей.</w:t>
      </w:r>
    </w:p>
    <w:p w:rsidR="00E30B46" w:rsidRPr="008B3B08" w:rsidRDefault="00E30B46" w:rsidP="008B3B08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B3B08">
        <w:rPr>
          <w:rFonts w:ascii="Times New Roman" w:hAnsi="Times New Roman"/>
          <w:sz w:val="24"/>
          <w:szCs w:val="24"/>
        </w:rPr>
        <w:t>Структура расходов бюджета на 2014-2016 годы по разделам классификации расходов бюджетов по отношению к общей сумме расходов представлена в следующей таблице:</w:t>
      </w:r>
    </w:p>
    <w:p w:rsidR="00E30B46" w:rsidRPr="008B3B08" w:rsidRDefault="00E30B46" w:rsidP="008B3B0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B3B08">
        <w:rPr>
          <w:rFonts w:ascii="Times New Roman" w:hAnsi="Times New Roman"/>
          <w:sz w:val="24"/>
          <w:szCs w:val="24"/>
        </w:rPr>
        <w:t xml:space="preserve">                    </w:t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</w:r>
      <w:r w:rsidRPr="008B3B08">
        <w:rPr>
          <w:rFonts w:ascii="Times New Roman" w:hAnsi="Times New Roman"/>
          <w:sz w:val="24"/>
          <w:szCs w:val="24"/>
        </w:rPr>
        <w:tab/>
        <w:t xml:space="preserve">       Таблица 3.</w:t>
      </w:r>
    </w:p>
    <w:p w:rsidR="00E30B46" w:rsidRDefault="00E30B46" w:rsidP="00703965">
      <w:pPr>
        <w:jc w:val="both"/>
        <w:rPr>
          <w:sz w:val="20"/>
          <w:szCs w:val="20"/>
        </w:rPr>
      </w:pPr>
      <w:r>
        <w:rPr>
          <w:sz w:val="20"/>
          <w:szCs w:val="20"/>
        </w:rPr>
        <w:t>(тыс. рублей)</w:t>
      </w:r>
    </w:p>
    <w:tbl>
      <w:tblPr>
        <w:tblW w:w="110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6"/>
        <w:gridCol w:w="1133"/>
        <w:gridCol w:w="1134"/>
        <w:gridCol w:w="712"/>
        <w:gridCol w:w="989"/>
        <w:gridCol w:w="709"/>
        <w:gridCol w:w="992"/>
        <w:gridCol w:w="709"/>
        <w:gridCol w:w="992"/>
        <w:gridCol w:w="709"/>
      </w:tblGrid>
      <w:tr w:rsidR="00E30B46" w:rsidRPr="006A3C80" w:rsidTr="006969B0">
        <w:trPr>
          <w:trHeight w:val="321"/>
        </w:trPr>
        <w:tc>
          <w:tcPr>
            <w:tcW w:w="2976" w:type="dxa"/>
            <w:vMerge w:val="restart"/>
            <w:vAlign w:val="center"/>
          </w:tcPr>
          <w:p w:rsidR="00E30B46" w:rsidRPr="006A3C80" w:rsidRDefault="00E30B46" w:rsidP="008B3B08">
            <w:pPr>
              <w:spacing w:after="0"/>
              <w:ind w:firstLine="708"/>
              <w:rPr>
                <w:color w:val="000000"/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Наименование раздела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2012 год</w:t>
            </w:r>
          </w:p>
        </w:tc>
        <w:tc>
          <w:tcPr>
            <w:tcW w:w="1846" w:type="dxa"/>
            <w:gridSpan w:val="2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2013 год</w:t>
            </w:r>
          </w:p>
        </w:tc>
        <w:tc>
          <w:tcPr>
            <w:tcW w:w="1698" w:type="dxa"/>
            <w:gridSpan w:val="2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2014 год</w:t>
            </w:r>
          </w:p>
        </w:tc>
        <w:tc>
          <w:tcPr>
            <w:tcW w:w="1701" w:type="dxa"/>
            <w:gridSpan w:val="2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2015 год</w:t>
            </w:r>
          </w:p>
        </w:tc>
        <w:tc>
          <w:tcPr>
            <w:tcW w:w="1701" w:type="dxa"/>
            <w:gridSpan w:val="2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2016 год</w:t>
            </w:r>
          </w:p>
        </w:tc>
      </w:tr>
      <w:tr w:rsidR="00E30B46" w:rsidRPr="006A3C80" w:rsidTr="006969B0">
        <w:trPr>
          <w:trHeight w:val="618"/>
        </w:trPr>
        <w:tc>
          <w:tcPr>
            <w:tcW w:w="2976" w:type="dxa"/>
            <w:vMerge/>
            <w:vAlign w:val="center"/>
          </w:tcPr>
          <w:p w:rsidR="00E30B46" w:rsidRPr="006A3C80" w:rsidRDefault="00E30B46" w:rsidP="008B3B08">
            <w:pPr>
              <w:spacing w:after="0"/>
              <w:rPr>
                <w:color w:val="000000"/>
                <w:sz w:val="18"/>
                <w:szCs w:val="18"/>
              </w:rPr>
            </w:pP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факт</w:t>
            </w:r>
          </w:p>
        </w:tc>
        <w:tc>
          <w:tcPr>
            <w:tcW w:w="1134" w:type="dxa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ожидаемое исполнение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в %</w:t>
            </w:r>
          </w:p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к итогу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в %</w:t>
            </w:r>
          </w:p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к итогу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в %</w:t>
            </w:r>
          </w:p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к итогу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в %</w:t>
            </w:r>
          </w:p>
          <w:p w:rsidR="00E30B46" w:rsidRPr="006A3C80" w:rsidRDefault="00E30B46" w:rsidP="008B3B08">
            <w:pPr>
              <w:spacing w:after="0"/>
              <w:jc w:val="center"/>
              <w:rPr>
                <w:color w:val="000000"/>
                <w:sz w:val="18"/>
                <w:szCs w:val="18"/>
              </w:rPr>
            </w:pPr>
            <w:r w:rsidRPr="006A3C80">
              <w:rPr>
                <w:color w:val="000000"/>
                <w:sz w:val="18"/>
                <w:szCs w:val="18"/>
              </w:rPr>
              <w:t>к итогу</w:t>
            </w:r>
          </w:p>
        </w:tc>
      </w:tr>
      <w:tr w:rsidR="00E30B46" w:rsidRPr="006A3C80" w:rsidTr="006969B0">
        <w:trPr>
          <w:trHeight w:val="284"/>
        </w:trPr>
        <w:tc>
          <w:tcPr>
            <w:tcW w:w="2976" w:type="dxa"/>
            <w:vAlign w:val="bottom"/>
          </w:tcPr>
          <w:p w:rsidR="00E30B46" w:rsidRPr="006A3C80" w:rsidRDefault="00E30B46" w:rsidP="008B3B08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11410,2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12945,3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26,2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12672,7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25,7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12935,3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25,9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13212,3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26,1</w:t>
            </w:r>
          </w:p>
        </w:tc>
      </w:tr>
      <w:tr w:rsidR="00E30B46" w:rsidRPr="006A3C80" w:rsidTr="006969B0">
        <w:trPr>
          <w:trHeight w:val="184"/>
        </w:trPr>
        <w:tc>
          <w:tcPr>
            <w:tcW w:w="2976" w:type="dxa"/>
            <w:vAlign w:val="bottom"/>
          </w:tcPr>
          <w:p w:rsidR="00E30B46" w:rsidRPr="006A3C80" w:rsidRDefault="00E30B46" w:rsidP="008B3B08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Национальная оборона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228,0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236,0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267,0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0,5</w:t>
            </w:r>
          </w:p>
        </w:tc>
      </w:tr>
      <w:tr w:rsidR="00E30B46" w:rsidRPr="006A3C80" w:rsidTr="006969B0">
        <w:trPr>
          <w:trHeight w:val="199"/>
        </w:trPr>
        <w:tc>
          <w:tcPr>
            <w:tcW w:w="2976" w:type="dxa"/>
            <w:vAlign w:val="bottom"/>
          </w:tcPr>
          <w:p w:rsidR="00E30B46" w:rsidRPr="006A3C80" w:rsidRDefault="00E30B46" w:rsidP="008B3B08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99,6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2939,0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5,9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733,2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733,2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733,2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1,4</w:t>
            </w:r>
          </w:p>
        </w:tc>
      </w:tr>
      <w:tr w:rsidR="00E30B46" w:rsidRPr="006A3C80" w:rsidTr="006969B0">
        <w:trPr>
          <w:trHeight w:val="199"/>
        </w:trPr>
        <w:tc>
          <w:tcPr>
            <w:tcW w:w="2976" w:type="dxa"/>
            <w:vAlign w:val="bottom"/>
          </w:tcPr>
          <w:p w:rsidR="00E30B46" w:rsidRPr="006A3C80" w:rsidRDefault="00E30B46" w:rsidP="008B3B08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3344,7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6929,0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14,0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16,2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8B3B08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8117,0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03FE7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16,0</w:t>
            </w:r>
          </w:p>
        </w:tc>
      </w:tr>
      <w:tr w:rsidR="00E30B46" w:rsidRPr="006A3C80" w:rsidTr="006969B0">
        <w:trPr>
          <w:trHeight w:val="244"/>
        </w:trPr>
        <w:tc>
          <w:tcPr>
            <w:tcW w:w="2976" w:type="dxa"/>
            <w:vAlign w:val="bottom"/>
          </w:tcPr>
          <w:p w:rsidR="00E30B46" w:rsidRPr="006A3C80" w:rsidRDefault="00E30B46" w:rsidP="00BA682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27455,0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14526,7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29,4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11173,1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22,6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11256,3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22,5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11175,5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22,1</w:t>
            </w:r>
          </w:p>
        </w:tc>
      </w:tr>
      <w:tr w:rsidR="00E30B46" w:rsidRPr="006A3C80" w:rsidTr="006969B0">
        <w:trPr>
          <w:trHeight w:val="199"/>
        </w:trPr>
        <w:tc>
          <w:tcPr>
            <w:tcW w:w="2976" w:type="dxa"/>
            <w:vAlign w:val="bottom"/>
          </w:tcPr>
          <w:p w:rsidR="00E30B46" w:rsidRPr="006A3C80" w:rsidRDefault="00E30B46" w:rsidP="00BA682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4181,3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4337,0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8,8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5142,5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10,4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5385,0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10,8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5453,0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10,8</w:t>
            </w:r>
          </w:p>
        </w:tc>
      </w:tr>
      <w:tr w:rsidR="00E30B46" w:rsidRPr="006A3C80" w:rsidTr="006969B0">
        <w:trPr>
          <w:trHeight w:val="277"/>
        </w:trPr>
        <w:tc>
          <w:tcPr>
            <w:tcW w:w="2976" w:type="dxa"/>
            <w:vAlign w:val="bottom"/>
          </w:tcPr>
          <w:p w:rsidR="00E30B46" w:rsidRPr="006A3C80" w:rsidRDefault="00E30B46" w:rsidP="00BA682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62,9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78,0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0,2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0,2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85,0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0,2</w:t>
            </w:r>
          </w:p>
        </w:tc>
      </w:tr>
      <w:tr w:rsidR="00E30B46" w:rsidRPr="006A3C80" w:rsidTr="006969B0">
        <w:trPr>
          <w:trHeight w:val="199"/>
        </w:trPr>
        <w:tc>
          <w:tcPr>
            <w:tcW w:w="2976" w:type="dxa"/>
            <w:vAlign w:val="bottom"/>
          </w:tcPr>
          <w:p w:rsidR="00E30B46" w:rsidRPr="006A3C80" w:rsidRDefault="00E30B46" w:rsidP="00BA682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5186,5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6084,0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12,3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6799,0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6884,0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13,8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7186,0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14,2</w:t>
            </w:r>
          </w:p>
        </w:tc>
      </w:tr>
      <w:tr w:rsidR="00E30B46" w:rsidRPr="006A3C80" w:rsidTr="006969B0">
        <w:trPr>
          <w:trHeight w:val="171"/>
        </w:trPr>
        <w:tc>
          <w:tcPr>
            <w:tcW w:w="2976" w:type="dxa"/>
            <w:vAlign w:val="bottom"/>
          </w:tcPr>
          <w:p w:rsidR="00E30B46" w:rsidRPr="006A3C80" w:rsidRDefault="00E30B46" w:rsidP="00BA6821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3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2963,0</w:t>
            </w:r>
          </w:p>
        </w:tc>
        <w:tc>
          <w:tcPr>
            <w:tcW w:w="1134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1367,0</w:t>
            </w:r>
          </w:p>
        </w:tc>
        <w:tc>
          <w:tcPr>
            <w:tcW w:w="71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2,8</w:t>
            </w:r>
          </w:p>
        </w:tc>
        <w:tc>
          <w:tcPr>
            <w:tcW w:w="98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4324,0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8,8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4324,0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8,6</w:t>
            </w:r>
          </w:p>
        </w:tc>
        <w:tc>
          <w:tcPr>
            <w:tcW w:w="992" w:type="dxa"/>
            <w:vAlign w:val="center"/>
          </w:tcPr>
          <w:p w:rsidR="00E30B46" w:rsidRPr="006A3C80" w:rsidRDefault="00E30B46" w:rsidP="00BA6821">
            <w:pPr>
              <w:spacing w:after="0"/>
              <w:jc w:val="center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>4324,0</w:t>
            </w:r>
          </w:p>
        </w:tc>
        <w:tc>
          <w:tcPr>
            <w:tcW w:w="709" w:type="dxa"/>
            <w:vAlign w:val="center"/>
          </w:tcPr>
          <w:p w:rsidR="00E30B46" w:rsidRPr="006A3C80" w:rsidRDefault="00E30B46" w:rsidP="00156412">
            <w:pPr>
              <w:spacing w:after="0"/>
              <w:rPr>
                <w:sz w:val="18"/>
                <w:szCs w:val="18"/>
              </w:rPr>
            </w:pPr>
            <w:r w:rsidRPr="006A3C80">
              <w:rPr>
                <w:sz w:val="18"/>
                <w:szCs w:val="18"/>
              </w:rPr>
              <w:t xml:space="preserve">   8,6</w:t>
            </w:r>
          </w:p>
        </w:tc>
      </w:tr>
      <w:tr w:rsidR="00E30B46" w:rsidRPr="006A3C80" w:rsidTr="006969B0">
        <w:trPr>
          <w:trHeight w:val="216"/>
        </w:trPr>
        <w:tc>
          <w:tcPr>
            <w:tcW w:w="2976" w:type="dxa"/>
            <w:vAlign w:val="bottom"/>
          </w:tcPr>
          <w:p w:rsidR="00E30B46" w:rsidRPr="006A3C80" w:rsidRDefault="00E30B46">
            <w:pPr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3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54932,9</w:t>
            </w:r>
          </w:p>
        </w:tc>
        <w:tc>
          <w:tcPr>
            <w:tcW w:w="1134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49442,0</w:t>
            </w:r>
          </w:p>
        </w:tc>
        <w:tc>
          <w:tcPr>
            <w:tcW w:w="712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89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49313,5</w:t>
            </w:r>
          </w:p>
        </w:tc>
        <w:tc>
          <w:tcPr>
            <w:tcW w:w="709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49986,8</w:t>
            </w:r>
          </w:p>
        </w:tc>
        <w:tc>
          <w:tcPr>
            <w:tcW w:w="709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  <w:tc>
          <w:tcPr>
            <w:tcW w:w="992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50553,0</w:t>
            </w:r>
          </w:p>
        </w:tc>
        <w:tc>
          <w:tcPr>
            <w:tcW w:w="709" w:type="dxa"/>
            <w:vAlign w:val="center"/>
          </w:tcPr>
          <w:p w:rsidR="00E30B46" w:rsidRPr="006A3C80" w:rsidRDefault="00E30B46">
            <w:pPr>
              <w:jc w:val="center"/>
              <w:rPr>
                <w:b/>
                <w:sz w:val="18"/>
                <w:szCs w:val="18"/>
              </w:rPr>
            </w:pPr>
            <w:r w:rsidRPr="006A3C80">
              <w:rPr>
                <w:b/>
                <w:sz w:val="18"/>
                <w:szCs w:val="18"/>
              </w:rPr>
              <w:t>100</w:t>
            </w:r>
          </w:p>
        </w:tc>
      </w:tr>
    </w:tbl>
    <w:p w:rsidR="00E30B46" w:rsidRDefault="00E30B46" w:rsidP="00703965">
      <w:pPr>
        <w:pStyle w:val="Style2"/>
        <w:widowControl/>
        <w:spacing w:line="240" w:lineRule="auto"/>
        <w:ind w:firstLine="900"/>
        <w:rPr>
          <w:color w:val="FF0000"/>
        </w:rPr>
      </w:pP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 xml:space="preserve">Расходы бюджета поселения в 2014 году планируются на уровне 2013 года. В 2015-2016 годах прогнозируется небольшой рост по отношению к предыдущему периоду на 1,4% и 1,1% соответственно. 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>В структуре общего объема расходов бюджета  наибольший удельный вес занимают: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>- «общегосударственные вопросы»  - 2014 год -25,7%, 2015 год – 25,9%, 2016 год – 26,1%;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>- «жилищно-коммунальное хозяйство» - 2014 год – 22,6%, 2015 год – 22,5%; 2016 год – 22,1%;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 xml:space="preserve">В бюджете сельского поселения Куликовское предусмотрены межбюджетные трансферты передаваемые бюджету Дмитровского муниципального района Московской области на осуществление части полномочий по решению вопросов местного значения в соответствии с заключенными соглашениями в сумме 4324,0тыс.руб., в том числе: в части организации библиотечного обслуживания населения, комплектования и обеспечения сохранности библиотечных фондов библиотек поселения – 820,0 тыс.руб., в части исполнения полномочий в области строительства, архитектуры и градостроительства в части разработки правил землепользования и застройки, нормативов градостроительного проектирования и застройки  - 2600,0 тыс.руб., иные межбюджетные трансферты на исполнение полномочий в организации деятельности органов местного самоуправления – 751,2 тыс.руб., на исполнение полномочий по осуществлению внешнего муниципального финансового контроля Контрольно-счетной палатой Дмитровского муниципального района. 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>На основании ст.179.4 Бюджетного кодекса РФ и Положения о дорожном фонде сельского поселения Куликовское, утвержденного решением Совета депутатов сельского поселения Куликовское от 31.10.2013г. №117.1 с 1 января 2014г. создается дорожный фонд поселения. В проекте бюджета расходы на дорожное хозяйство предусмотрены в 2014 году сумме – 8117,0 тыс.руб.  за счет налога от уплаты акцизов на ГСМ. В плановом периоде по 8117,0 тыс.руб. ежегодно.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 w:rsidRPr="0013431C">
        <w:t>В нарушение п.4 Положения о дорожном фонде сельского поселения Куликовское в текстовой части проекта решения «О бюджете сельского поселения Куликовское Дмитровского муниципального района Московской области на 2014 год и плановый период 2015 – 2016г.г.» не внесена статья с указанием объема средств Фонда для утверждения.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  <w:r>
        <w:t xml:space="preserve">    </w:t>
      </w:r>
    </w:p>
    <w:p w:rsidR="00E30B46" w:rsidRPr="00B227D9" w:rsidRDefault="00E30B46" w:rsidP="00A651FF">
      <w:pPr>
        <w:autoSpaceDE w:val="0"/>
        <w:autoSpaceDN w:val="0"/>
        <w:adjustRightInd w:val="0"/>
        <w:spacing w:before="77" w:after="0" w:line="240" w:lineRule="auto"/>
        <w:ind w:right="924" w:firstLine="902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227D9">
        <w:rPr>
          <w:rFonts w:ascii="Times New Roman" w:hAnsi="Times New Roman"/>
          <w:b/>
          <w:bCs/>
          <w:sz w:val="24"/>
          <w:szCs w:val="24"/>
          <w:lang w:val="en-US" w:eastAsia="ru-RU"/>
        </w:rPr>
        <w:t>I</w:t>
      </w:r>
      <w:r w:rsidRPr="00B227D9">
        <w:rPr>
          <w:rFonts w:ascii="Times New Roman" w:hAnsi="Times New Roman"/>
          <w:b/>
          <w:bCs/>
          <w:sz w:val="24"/>
          <w:szCs w:val="24"/>
          <w:lang w:eastAsia="ru-RU"/>
        </w:rPr>
        <w:t>V.   Применение программно-целевого метода планирования расходов бюджета сельского поселения Куликовское</w:t>
      </w:r>
    </w:p>
    <w:p w:rsidR="00E30B46" w:rsidRPr="00CD54FD" w:rsidRDefault="00E30B46" w:rsidP="00A651FF">
      <w:pPr>
        <w:autoSpaceDE w:val="0"/>
        <w:autoSpaceDN w:val="0"/>
        <w:adjustRightInd w:val="0"/>
        <w:spacing w:before="77" w:after="0" w:line="240" w:lineRule="auto"/>
        <w:ind w:right="924" w:firstLine="902"/>
        <w:jc w:val="center"/>
        <w:rPr>
          <w:rFonts w:ascii="Times New Roman" w:hAnsi="Times New Roman"/>
          <w:b/>
          <w:bCs/>
          <w:lang w:eastAsia="ru-RU"/>
        </w:rPr>
      </w:pPr>
    </w:p>
    <w:p w:rsidR="00E30B46" w:rsidRPr="00CD54FD" w:rsidRDefault="00E30B46" w:rsidP="00A651FF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Представленный на экспертизу проект бюджета сельского поселения Куликовское финансирование муниципальных программ не предусматривает. </w:t>
      </w:r>
    </w:p>
    <w:p w:rsidR="00E30B46" w:rsidRDefault="00E30B46" w:rsidP="00703965">
      <w:pPr>
        <w:pStyle w:val="Style2"/>
        <w:widowControl/>
        <w:spacing w:line="240" w:lineRule="auto"/>
        <w:ind w:firstLine="900"/>
      </w:pPr>
    </w:p>
    <w:p w:rsidR="00E30B46" w:rsidRDefault="00E30B46" w:rsidP="00703965">
      <w:pPr>
        <w:pStyle w:val="p5"/>
        <w:spacing w:after="0" w:afterAutospacing="0"/>
        <w:jc w:val="center"/>
        <w:rPr>
          <w:b/>
        </w:rPr>
      </w:pPr>
      <w:r>
        <w:rPr>
          <w:rStyle w:val="s1"/>
          <w:b/>
          <w:lang w:val="en-US"/>
        </w:rPr>
        <w:t>V</w:t>
      </w:r>
      <w:r>
        <w:rPr>
          <w:rStyle w:val="s1"/>
          <w:b/>
        </w:rPr>
        <w:t>. Дефицит (профицит) Проекта бюджета сельского поселения Куликовское на 2014-2016 годы</w:t>
      </w:r>
    </w:p>
    <w:p w:rsidR="00E30B46" w:rsidRDefault="00E30B46" w:rsidP="00703965">
      <w:pPr>
        <w:pStyle w:val="p24"/>
        <w:spacing w:after="0" w:afterAutospacing="0"/>
        <w:ind w:firstLine="851"/>
        <w:jc w:val="both"/>
      </w:pPr>
      <w:r>
        <w:rPr>
          <w:rStyle w:val="s3"/>
        </w:rPr>
        <w:t>Проектом решения «Об утверждении бюджета сельского поселения Куликовское на 2014 год и плановый период 2015 и 2016 годов» утверждено:</w:t>
      </w:r>
    </w:p>
    <w:p w:rsidR="00E30B46" w:rsidRDefault="00E30B46" w:rsidP="00703965">
      <w:pPr>
        <w:pStyle w:val="p25"/>
        <w:spacing w:before="0" w:beforeAutospacing="0" w:after="0" w:afterAutospacing="0"/>
      </w:pPr>
      <w:r>
        <w:t>- приложение 4 «Перечень главных администраторов источников внутреннего финансирования дефицита бюджета сельского поселения Куликовское»,</w:t>
      </w:r>
    </w:p>
    <w:p w:rsidR="00E30B46" w:rsidRDefault="00E30B46" w:rsidP="00703965">
      <w:pPr>
        <w:pStyle w:val="p25"/>
        <w:spacing w:before="0" w:beforeAutospacing="0" w:after="0" w:afterAutospacing="0"/>
      </w:pPr>
      <w:r>
        <w:t>- приложение 11 «Источники внутреннего финансирования дефицита бюджета сельского поселения Куликовское на 2014 год»,</w:t>
      </w:r>
    </w:p>
    <w:p w:rsidR="00E30B46" w:rsidRDefault="00E30B46" w:rsidP="00703965">
      <w:pPr>
        <w:pStyle w:val="p25"/>
        <w:spacing w:before="0" w:beforeAutospacing="0" w:after="0" w:afterAutospacing="0"/>
      </w:pPr>
      <w:r>
        <w:t>- приложение 12 «Источники внутреннего финансирования дефицита бюджета сельского поселения Куликовское на плановый период 2015 и 2016 годов».</w:t>
      </w:r>
    </w:p>
    <w:p w:rsidR="00E30B46" w:rsidRDefault="00E30B46" w:rsidP="00703965">
      <w:pPr>
        <w:pStyle w:val="p25"/>
        <w:spacing w:before="0" w:beforeAutospacing="0" w:after="0" w:afterAutospacing="0"/>
        <w:ind w:firstLine="851"/>
      </w:pPr>
      <w:r>
        <w:t xml:space="preserve">В проекте бюджета на 2014 год и плановый период дефицит или профицит не предусмотрен. Доходы равны расходам. </w:t>
      </w:r>
    </w:p>
    <w:p w:rsidR="00E30B46" w:rsidRDefault="00E30B46" w:rsidP="00703965">
      <w:pPr>
        <w:pStyle w:val="p10"/>
        <w:spacing w:after="0" w:afterAutospacing="0"/>
        <w:rPr>
          <w:b/>
        </w:rPr>
      </w:pPr>
      <w:r>
        <w:rPr>
          <w:rStyle w:val="s2"/>
          <w:b/>
        </w:rPr>
        <w:t>Выводы: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</w:pPr>
      <w:r>
        <w:t>По результатам экспертизы Проекта бюджета сельского поселения Куликовское на 2014 год и плановый период 2015 и 2016 годов Контрольно-счётная палата считает, что п</w:t>
      </w:r>
      <w:r>
        <w:rPr>
          <w:rStyle w:val="s6"/>
        </w:rPr>
        <w:t>роект Решения Совета депутатов сельского поселения Куликовское Дмитровского муниципального района Московской области «Об утверждении бюджета сельского поселения Куликовское Дмитровского муниципального района Московской области на 2014 год и на плановый период 2015 и 2016 годов» соответствует положениям бюджетного законодательства Российской Федерации и Московской области и нормативно-правовым актам поселения.</w:t>
      </w:r>
      <w:r>
        <w:t xml:space="preserve"> 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</w:pPr>
      <w:r w:rsidRPr="006B37F8">
        <w:rPr>
          <w:rStyle w:val="s6"/>
        </w:rPr>
        <w:t>В соответствии со ст.52 Федерального закона № 131-ФЗ от 06.10.2003 проект бюджета опубликован в газете «Дмитровский вестник» 14 ноября 2013 года.</w:t>
      </w:r>
      <w:r>
        <w:t xml:space="preserve"> 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</w:rPr>
      </w:pPr>
      <w:r w:rsidRPr="006B37F8">
        <w:t>Согласно ст.33 Бюджетного кодекса соблюден принцип сбалансированности бюджета сельского поселения Куликовское, объем предусмотренных бюджетом расходов соответствует суммарному объему доходов бюджета и поступлений источников финансирования его дефицита.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</w:rPr>
      </w:pPr>
      <w:r>
        <w:rPr>
          <w:rStyle w:val="s6"/>
        </w:rPr>
        <w:t>В соответствии со ст.28 Федерального закона № 131-ФЗ от 06.10.2003. 13 декабря 2013 года назначены публичные слушания по проекту решения «Об утверждении бюджета сельского поселения Куликовское Дмитровского муниципального района Московской области на 2014 год и на плановый период 2015 и 2016 годов».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</w:rPr>
      </w:pPr>
      <w:r>
        <w:rPr>
          <w:rStyle w:val="s6"/>
        </w:rPr>
        <w:t>Проект бюджета по расходам сформирован непрограммным методом.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</w:rPr>
      </w:pP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  <w:b/>
          <w:u w:val="single"/>
        </w:rPr>
      </w:pPr>
      <w:r w:rsidRPr="00A017DD">
        <w:rPr>
          <w:rStyle w:val="s6"/>
          <w:b/>
          <w:u w:val="single"/>
        </w:rPr>
        <w:t>Замечания</w:t>
      </w:r>
      <w:r>
        <w:rPr>
          <w:rStyle w:val="s6"/>
          <w:b/>
          <w:u w:val="single"/>
        </w:rPr>
        <w:t>: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</w:pPr>
      <w:r w:rsidRPr="00F2732E">
        <w:t>1.</w:t>
      </w:r>
      <w:r>
        <w:rPr>
          <w:b/>
        </w:rPr>
        <w:t xml:space="preserve"> </w:t>
      </w:r>
      <w:r w:rsidRPr="00231803">
        <w:t xml:space="preserve">В проекте бюджета доходы и расходы </w:t>
      </w:r>
      <w:r w:rsidRPr="0005595B">
        <w:t>бюджета,</w:t>
      </w:r>
      <w:r w:rsidRPr="00231803">
        <w:t xml:space="preserve"> источники финансирования дефицита бюджета сгруппированы</w:t>
      </w:r>
      <w:r>
        <w:t xml:space="preserve"> с отдельными отклонениями от инструкции, утвержденной </w:t>
      </w:r>
      <w:r w:rsidRPr="00231803">
        <w:t>Приказом Минфина России от 01.07.2013 №65н «Об утверждении Указаний о порядке применения бюджетной классификации Российской Федерации».</w:t>
      </w:r>
      <w:r>
        <w:t xml:space="preserve"> Замечания конкретизированы в приложении.</w:t>
      </w:r>
    </w:p>
    <w:p w:rsidR="00E30B46" w:rsidRPr="00A017DD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  <w:b/>
          <w:u w:val="single"/>
        </w:rPr>
      </w:pPr>
      <w:r>
        <w:t>2. В нарушение ст.184.2 Бюджетного кодекса РФ одновременно с проектом бюджета не представлены методика и расчеты межбюджетных трансфертов.</w:t>
      </w:r>
    </w:p>
    <w:p w:rsidR="00E30B46" w:rsidRDefault="00E30B46" w:rsidP="006F5D6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4CA6">
        <w:rPr>
          <w:rFonts w:ascii="Times New Roman" w:hAnsi="Times New Roman"/>
          <w:sz w:val="24"/>
          <w:szCs w:val="24"/>
          <w:lang w:eastAsia="ru-RU"/>
        </w:rPr>
        <w:t xml:space="preserve">3. В тексте Проекта решения </w:t>
      </w:r>
      <w:r>
        <w:rPr>
          <w:rFonts w:ascii="Times New Roman" w:hAnsi="Times New Roman"/>
          <w:sz w:val="24"/>
          <w:szCs w:val="24"/>
          <w:lang w:eastAsia="ru-RU"/>
        </w:rPr>
        <w:t xml:space="preserve">в пункте 4 наименование доходов не соответствуют статье 42 Бюджетного кодекса РФ. Замечания конкретизированы в приложении. </w:t>
      </w:r>
    </w:p>
    <w:p w:rsidR="00E30B46" w:rsidRPr="004D6584" w:rsidRDefault="00E30B46" w:rsidP="006F5D6D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4. В нарушение  пункта 4 Положения «О дорожном фонде сельского поселения Куликовское Дмитровского муниципального района Московской области» в решение Совета депутатов сельского поселения Куликовское не внесена статья с указанием объема средств Фонда для утверждения.</w:t>
      </w:r>
    </w:p>
    <w:p w:rsidR="00E30B46" w:rsidRDefault="00E30B46" w:rsidP="00703965">
      <w:pPr>
        <w:pStyle w:val="p9"/>
        <w:spacing w:before="0" w:beforeAutospacing="0" w:after="0" w:afterAutospacing="0"/>
        <w:ind w:firstLine="851"/>
        <w:jc w:val="both"/>
        <w:rPr>
          <w:rStyle w:val="s6"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/>
          <w:bCs/>
          <w:u w:val="single"/>
        </w:rPr>
      </w:pPr>
      <w:r>
        <w:rPr>
          <w:b/>
          <w:bCs/>
          <w:u w:val="single"/>
        </w:rPr>
        <w:t>Предложения:</w:t>
      </w: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  <w:r>
        <w:rPr>
          <w:bCs/>
        </w:rPr>
        <w:t>На основании изложенного Контрольно-счетная палата Дмитровского муниципального района считает возможным принять представленный для рассмотрения проект решения о бюджете сельского поселения Куликовское на 2014 год и плановый период 2015-2016 годов и предлагает учесть замечания, указанные в заключении.</w:t>
      </w: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E30B46" w:rsidRDefault="00E30B46" w:rsidP="00F2732E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Председатель Контрольно-счетной палаты</w:t>
      </w:r>
    </w:p>
    <w:p w:rsidR="00E30B46" w:rsidRDefault="00E30B46" w:rsidP="00F2732E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Дмитровского муниципального района                                                                           Н.В. Малышева</w:t>
      </w:r>
    </w:p>
    <w:p w:rsidR="00E30B46" w:rsidRDefault="00E30B46" w:rsidP="00F2732E">
      <w:pPr>
        <w:pStyle w:val="NormalWeb"/>
        <w:spacing w:before="0" w:beforeAutospacing="0" w:after="0" w:afterAutospacing="0"/>
        <w:jc w:val="both"/>
        <w:rPr>
          <w:bCs/>
        </w:rPr>
      </w:pPr>
    </w:p>
    <w:p w:rsidR="00E30B46" w:rsidRDefault="00E30B46" w:rsidP="00F2732E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Аудитор Контрольно-счетной палаты</w:t>
      </w:r>
    </w:p>
    <w:p w:rsidR="00E30B46" w:rsidRDefault="00E30B46" w:rsidP="00F2732E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Дмитровского муниципального района                                                                           Н.Н. Абрамова</w:t>
      </w: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E30B46" w:rsidRDefault="00E30B46" w:rsidP="00A017DD">
      <w:pPr>
        <w:pStyle w:val="NormalWeb"/>
        <w:spacing w:before="0" w:beforeAutospacing="0" w:after="0" w:afterAutospacing="0"/>
        <w:jc w:val="both"/>
        <w:rPr>
          <w:bCs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firstLine="851"/>
        <w:jc w:val="both"/>
        <w:rPr>
          <w:bCs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6B37F8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6B37F8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6B37F8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Приложение  к заключению на проект бюджета</w:t>
      </w:r>
    </w:p>
    <w:p w:rsidR="00E30B46" w:rsidRDefault="00E30B46" w:rsidP="006B37F8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 xml:space="preserve">сельского поселения Куликовское на 2014 год </w:t>
      </w:r>
    </w:p>
    <w:p w:rsidR="00E30B46" w:rsidRDefault="00E30B46" w:rsidP="006B37F8">
      <w:pPr>
        <w:spacing w:after="0" w:line="240" w:lineRule="auto"/>
        <w:ind w:firstLine="900"/>
        <w:jc w:val="right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и плановый период 2015-2016г.г.</w:t>
      </w:r>
    </w:p>
    <w:p w:rsidR="00E30B46" w:rsidRDefault="00E30B46" w:rsidP="006B37F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D6584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Замечания к Приложению №1: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КБК 000 1 11 05000 00 0000 120 наименование дохода изложить в редакции «Доходы,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Вместо КБК 000 1 11 05013 00 0000 120 следует применить КБК 000 1 11 05010 00 0000 120;</w:t>
      </w: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Вместо </w:t>
      </w:r>
      <w:r w:rsidRPr="004D6584">
        <w:rPr>
          <w:rFonts w:ascii="Times New Roman" w:hAnsi="Times New Roman"/>
          <w:sz w:val="24"/>
          <w:szCs w:val="24"/>
          <w:lang w:eastAsia="ru-RU"/>
        </w:rPr>
        <w:t>КБК 000 1 11 05030 00 0000 120 «Доходы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учреждений)»</w:t>
      </w:r>
      <w:r>
        <w:rPr>
          <w:rFonts w:ascii="Times New Roman" w:hAnsi="Times New Roman"/>
          <w:sz w:val="24"/>
          <w:szCs w:val="24"/>
          <w:lang w:eastAsia="ru-RU"/>
        </w:rPr>
        <w:t xml:space="preserve"> применить КБК 000 111 05070 00 0000120 «Доходы от сдачи в аренду имущества, составляющего государственную (муниципальную) казну (за исключением земельных участков)</w:t>
      </w:r>
      <w:r w:rsidRPr="004D6584">
        <w:rPr>
          <w:rFonts w:ascii="Times New Roman" w:hAnsi="Times New Roman"/>
          <w:sz w:val="24"/>
          <w:szCs w:val="24"/>
          <w:lang w:eastAsia="ru-RU"/>
        </w:rPr>
        <w:t>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Вместо </w:t>
      </w:r>
      <w:r w:rsidRPr="004D6584">
        <w:rPr>
          <w:rFonts w:ascii="Times New Roman" w:hAnsi="Times New Roman"/>
          <w:sz w:val="24"/>
          <w:szCs w:val="24"/>
          <w:lang w:eastAsia="ru-RU"/>
        </w:rPr>
        <w:t xml:space="preserve">КБК 000 1 11 05035 10 0000 120 «Доходы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учреждений)» </w:t>
      </w:r>
      <w:r>
        <w:rPr>
          <w:rFonts w:ascii="Times New Roman" w:hAnsi="Times New Roman"/>
          <w:sz w:val="24"/>
          <w:szCs w:val="24"/>
          <w:lang w:eastAsia="ru-RU"/>
        </w:rPr>
        <w:t>применить КБК 000 111 05075 10 0000 120 «Доходы от сдачи в аренду имущества, составляющего казну поселений (за исключением земельных участков)».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КБК 000 1 14 06000 00 0000 430 наименование дохода изложить в редакции «Доходы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Вместо КБК 000 114 06013 00 0000 430 следует применить КБК 000 114 06010 00 0000 430;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Вместо КБК 000 202 03000 00 0090 151 следует применить 000 202 03000 00 0000 151.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Замечания к Приложению №2</w:t>
      </w:r>
      <w:r w:rsidRPr="004D6584">
        <w:rPr>
          <w:rFonts w:ascii="Times New Roman" w:hAnsi="Times New Roman"/>
          <w:sz w:val="24"/>
          <w:szCs w:val="24"/>
          <w:lang w:eastAsia="ru-RU"/>
        </w:rPr>
        <w:t>: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Допущены аналогичные ошибки, указанные к Приложению №1.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D6584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Замечания к Приложению №3: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 1.8. КБК 1 13 03050 10 0000 130 отсутствует в Порядке применения бюджетной классификации;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 1.10 вместо КБК 1 14 02030 10 0000 410 следует применить КБК 1 14 02050 10 0000 410;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п.1.11. вместо КБК 1 14 02030 10 0000 440 следует применить КБК 1 14 02050 10 0000 440;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п.1.12. вместо КБК 1 14 02032 10 0000 410 следует применить КБК 1 14 02052 10 0000 410;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п.1.13. вместо КБК 1 14 02032 10 0000 440 следует применить КБК 1 14 02052 10 0000 440;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п.1.14. вместо КБК 1 14 02033 10 0000 410 следует применить КБК 1 14 02053 10 0000 410;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п.1.15. вместо КБК 1 14 02033 10 0000 440 следует применить КБК 1 14 02053 10 0000 440;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п.1.19. вместо КБК 1 14 06026 10 0000 430 следует применить КБК 1 14 06025 10 0000 430;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п.1.20 КБК 1 15 02050 10 0000 140 наименование дохода изложить в редакции: «Платежи, взимаемые органами местного самоуправления (организациями) муниципальных районов за выполнение определенных функций»;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 xml:space="preserve">п.1.24. вместо КБК 1 16 32050 10 0000 140 следует применить КБК 1 16 32000 10 0000 140, наименование дохода «Денежные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 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 xml:space="preserve"> п.1.32 КБК 2 02 02068 10 0000 151 отсутствует в Порядке применения бюджетной классификации.</w:t>
      </w: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Замечания к Приложению №4</w:t>
      </w:r>
      <w:r w:rsidRPr="004D6584">
        <w:rPr>
          <w:rFonts w:ascii="Times New Roman" w:hAnsi="Times New Roman"/>
          <w:sz w:val="24"/>
          <w:szCs w:val="24"/>
          <w:lang w:eastAsia="ru-RU"/>
        </w:rPr>
        <w:t>:</w:t>
      </w: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4D6584">
        <w:rPr>
          <w:rFonts w:ascii="Times New Roman" w:hAnsi="Times New Roman"/>
          <w:sz w:val="24"/>
          <w:szCs w:val="24"/>
          <w:lang w:eastAsia="ru-RU"/>
        </w:rPr>
        <w:t>Вместо кода 01 06 04 00 10 0000 810 следует применить код 01 06 04 0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4D6584">
        <w:rPr>
          <w:rFonts w:ascii="Times New Roman" w:hAnsi="Times New Roman"/>
          <w:sz w:val="24"/>
          <w:szCs w:val="24"/>
          <w:lang w:eastAsia="ru-RU"/>
        </w:rPr>
        <w:t xml:space="preserve"> 10 0000 810.</w:t>
      </w: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3C3C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Замечания к приложениям №5,6,7,8</w:t>
      </w:r>
      <w:r>
        <w:rPr>
          <w:rFonts w:ascii="Times New Roman" w:hAnsi="Times New Roman"/>
          <w:sz w:val="24"/>
          <w:szCs w:val="24"/>
          <w:lang w:eastAsia="ru-RU"/>
        </w:rPr>
        <w:t xml:space="preserve"> подраздел «Дорожное хозяйство» изложить в редакции «Дорожное хозяйство (дорожный фонд)» </w:t>
      </w:r>
    </w:p>
    <w:p w:rsidR="00E30B46" w:rsidRDefault="00E30B46" w:rsidP="00794CA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Pr="00794CA6" w:rsidRDefault="00E30B46" w:rsidP="00794CA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2732E">
        <w:rPr>
          <w:rFonts w:ascii="Times New Roman" w:hAnsi="Times New Roman"/>
          <w:b/>
          <w:sz w:val="24"/>
          <w:szCs w:val="24"/>
          <w:u w:val="single"/>
          <w:lang w:eastAsia="ru-RU"/>
        </w:rPr>
        <w:t>Замечани</w:t>
      </w: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я к текстовой части Проекта бюд</w:t>
      </w:r>
      <w:r w:rsidRPr="00F2732E">
        <w:rPr>
          <w:rFonts w:ascii="Times New Roman" w:hAnsi="Times New Roman"/>
          <w:b/>
          <w:sz w:val="24"/>
          <w:szCs w:val="24"/>
          <w:u w:val="single"/>
          <w:lang w:eastAsia="ru-RU"/>
        </w:rPr>
        <w:t>жета</w:t>
      </w:r>
      <w:r w:rsidRPr="00794CA6">
        <w:rPr>
          <w:rFonts w:ascii="Times New Roman" w:hAnsi="Times New Roman"/>
          <w:sz w:val="24"/>
          <w:szCs w:val="24"/>
          <w:lang w:eastAsia="ru-RU"/>
        </w:rPr>
        <w:t>:</w:t>
      </w:r>
    </w:p>
    <w:p w:rsidR="00E30B46" w:rsidRDefault="00E30B46" w:rsidP="00794CA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 пункте 4 абзац 8 изложить в редакции статьи 42 Бюджетного кодекса РФ «доходов от использования имущества, находящегося в муниципальной собственности, за исключением имущества бюджетных и автономных учреждений, а также имущества муниципальных унитарных предприятий, в том числе казенных»;</w:t>
      </w:r>
    </w:p>
    <w:p w:rsidR="00E30B46" w:rsidRDefault="00E30B46" w:rsidP="00794CA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Абзац 9 изложить в редакции «доходов от продажи имущества (кроме акций и иных форм участия в капитале), находящегося в муниципальной собственности, за исключением имущества муниципальных </w:t>
      </w:r>
      <w:r w:rsidRPr="00402CFE">
        <w:rPr>
          <w:rFonts w:ascii="Times New Roman" w:hAnsi="Times New Roman"/>
          <w:sz w:val="24"/>
          <w:szCs w:val="24"/>
          <w:u w:val="single"/>
          <w:lang w:eastAsia="ru-RU"/>
        </w:rPr>
        <w:t>бюджетных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автономных учреждений, а также имущества муниципальных унитарных предприятий,  в том числе казенных»</w:t>
      </w:r>
    </w:p>
    <w:p w:rsidR="00E30B46" w:rsidRDefault="00E30B46" w:rsidP="00794CA6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Абзац 10 изложить в редакции «доходов от платных услуг, оказываемых муниципальными казенными учреждениями».</w:t>
      </w:r>
    </w:p>
    <w:p w:rsidR="00E30B46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Pr="004D6584" w:rsidRDefault="00E30B46" w:rsidP="004D6584">
      <w:pPr>
        <w:spacing w:after="0" w:line="240" w:lineRule="auto"/>
        <w:ind w:firstLine="90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left="540"/>
        <w:jc w:val="both"/>
        <w:rPr>
          <w:bCs/>
        </w:rPr>
      </w:pPr>
    </w:p>
    <w:p w:rsidR="00E30B46" w:rsidRDefault="00E30B46" w:rsidP="00703965">
      <w:pPr>
        <w:pStyle w:val="NormalWeb"/>
        <w:spacing w:before="0" w:beforeAutospacing="0" w:after="0" w:afterAutospacing="0"/>
        <w:ind w:left="540"/>
        <w:jc w:val="both"/>
        <w:rPr>
          <w:bCs/>
          <w:highlight w:val="magenta"/>
        </w:rPr>
      </w:pPr>
    </w:p>
    <w:p w:rsidR="00E30B46" w:rsidRDefault="00E30B46" w:rsidP="00703965">
      <w:pPr>
        <w:pStyle w:val="NormalWeb"/>
        <w:spacing w:before="0" w:beforeAutospacing="0" w:after="0" w:afterAutospacing="0"/>
        <w:jc w:val="both"/>
        <w:rPr>
          <w:bCs/>
        </w:rPr>
      </w:pPr>
    </w:p>
    <w:p w:rsidR="00E30B46" w:rsidRDefault="00E30B46" w:rsidP="00703965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Аудитор Контрольно-счетной палаты</w:t>
      </w:r>
    </w:p>
    <w:p w:rsidR="00E30B46" w:rsidRDefault="00E30B46" w:rsidP="00703965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>Дмитровского муниципального района</w:t>
      </w:r>
    </w:p>
    <w:p w:rsidR="00E30B46" w:rsidRDefault="00E30B46" w:rsidP="00703965">
      <w:pPr>
        <w:pStyle w:val="NormalWeb"/>
        <w:spacing w:before="0" w:beforeAutospacing="0" w:after="0" w:afterAutospacing="0"/>
        <w:jc w:val="both"/>
        <w:rPr>
          <w:bCs/>
        </w:rPr>
      </w:pPr>
      <w:r>
        <w:rPr>
          <w:bCs/>
        </w:rPr>
        <w:t xml:space="preserve">Московской области                                                                                                  Н.Н. Абрамова    </w:t>
      </w:r>
    </w:p>
    <w:p w:rsidR="00E30B46" w:rsidRDefault="00E30B46" w:rsidP="00703965">
      <w:pPr>
        <w:pStyle w:val="NormalWeb"/>
        <w:spacing w:before="0" w:beforeAutospacing="0" w:after="0" w:afterAutospacing="0"/>
        <w:jc w:val="both"/>
        <w:rPr>
          <w:bCs/>
        </w:rPr>
      </w:pPr>
    </w:p>
    <w:p w:rsidR="00E30B46" w:rsidRDefault="00E30B46" w:rsidP="00703965">
      <w:pPr>
        <w:ind w:firstLine="709"/>
        <w:jc w:val="both"/>
        <w:rPr>
          <w:sz w:val="26"/>
          <w:szCs w:val="26"/>
        </w:rPr>
      </w:pPr>
    </w:p>
    <w:p w:rsidR="00E30B46" w:rsidRDefault="00E30B46" w:rsidP="002F66F6">
      <w:pPr>
        <w:spacing w:after="0"/>
        <w:ind w:firstLine="900"/>
        <w:jc w:val="both"/>
        <w:rPr>
          <w:rStyle w:val="FontStyle11"/>
          <w:b w:val="0"/>
          <w:bCs/>
          <w:sz w:val="24"/>
          <w:szCs w:val="24"/>
        </w:rPr>
      </w:pPr>
    </w:p>
    <w:p w:rsidR="00E30B46" w:rsidRPr="00CD54FD" w:rsidRDefault="00E30B46" w:rsidP="00CD54FD">
      <w:pPr>
        <w:autoSpaceDE w:val="0"/>
        <w:autoSpaceDN w:val="0"/>
        <w:adjustRightInd w:val="0"/>
        <w:spacing w:after="0" w:line="240" w:lineRule="auto"/>
        <w:ind w:left="3019" w:right="922" w:firstLine="900"/>
        <w:jc w:val="both"/>
        <w:rPr>
          <w:rFonts w:ascii="Times New Roman" w:hAnsi="Times New Roman"/>
          <w:color w:val="FF0000"/>
          <w:sz w:val="24"/>
          <w:szCs w:val="24"/>
          <w:lang w:eastAsia="ru-RU"/>
        </w:rPr>
      </w:pPr>
    </w:p>
    <w:sectPr w:rsidR="00E30B46" w:rsidRPr="00CD54FD" w:rsidSect="0049347A">
      <w:footerReference w:type="even" r:id="rId7"/>
      <w:footerReference w:type="default" r:id="rId8"/>
      <w:pgSz w:w="11906" w:h="16838"/>
      <w:pgMar w:top="899" w:right="386" w:bottom="1134" w:left="90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B46" w:rsidRDefault="00E30B46">
      <w:pPr>
        <w:spacing w:after="0" w:line="240" w:lineRule="auto"/>
      </w:pPr>
      <w:r>
        <w:separator/>
      </w:r>
    </w:p>
  </w:endnote>
  <w:endnote w:type="continuationSeparator" w:id="0">
    <w:p w:rsidR="00E30B46" w:rsidRDefault="00E30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46" w:rsidRDefault="00E30B46" w:rsidP="00493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30B46" w:rsidRDefault="00E30B46" w:rsidP="0049347A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B46" w:rsidRDefault="00E30B46" w:rsidP="0049347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E30B46" w:rsidRDefault="00E30B46" w:rsidP="0049347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B46" w:rsidRDefault="00E30B46">
      <w:pPr>
        <w:spacing w:after="0" w:line="240" w:lineRule="auto"/>
      </w:pPr>
      <w:r>
        <w:separator/>
      </w:r>
    </w:p>
  </w:footnote>
  <w:footnote w:type="continuationSeparator" w:id="0">
    <w:p w:rsidR="00E30B46" w:rsidRDefault="00E30B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E3358"/>
    <w:multiLevelType w:val="hybridMultilevel"/>
    <w:tmpl w:val="D52A691E"/>
    <w:lvl w:ilvl="0" w:tplc="DF9E5A7C">
      <w:start w:val="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D731FC"/>
    <w:multiLevelType w:val="hybridMultilevel"/>
    <w:tmpl w:val="FE047A50"/>
    <w:lvl w:ilvl="0" w:tplc="E5603A1E">
      <w:start w:val="1"/>
      <w:numFmt w:val="decimal"/>
      <w:lvlText w:val="%1)"/>
      <w:lvlJc w:val="left"/>
      <w:pPr>
        <w:tabs>
          <w:tab w:val="num" w:pos="1714"/>
        </w:tabs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30265F4C"/>
    <w:multiLevelType w:val="hybridMultilevel"/>
    <w:tmpl w:val="58B44E6A"/>
    <w:lvl w:ilvl="0" w:tplc="C3A41A18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">
    <w:nsid w:val="32203523"/>
    <w:multiLevelType w:val="hybridMultilevel"/>
    <w:tmpl w:val="819262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D453121"/>
    <w:multiLevelType w:val="hybridMultilevel"/>
    <w:tmpl w:val="44F4B4C8"/>
    <w:lvl w:ilvl="0" w:tplc="80388672">
      <w:start w:val="1"/>
      <w:numFmt w:val="decimal"/>
      <w:lvlText w:val="%1)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68B837BB"/>
    <w:multiLevelType w:val="hybridMultilevel"/>
    <w:tmpl w:val="571AFBF0"/>
    <w:lvl w:ilvl="0" w:tplc="DDF21906">
      <w:start w:val="1"/>
      <w:numFmt w:val="decimal"/>
      <w:lvlText w:val="%1)"/>
      <w:lvlJc w:val="left"/>
      <w:pPr>
        <w:ind w:left="855" w:hanging="360"/>
      </w:pPr>
      <w:rPr>
        <w:rFonts w:ascii="Calibri" w:eastAsia="Times New Roman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7E48"/>
    <w:rsid w:val="00027083"/>
    <w:rsid w:val="000473D7"/>
    <w:rsid w:val="0005595B"/>
    <w:rsid w:val="00093D18"/>
    <w:rsid w:val="00093E48"/>
    <w:rsid w:val="00095605"/>
    <w:rsid w:val="00097706"/>
    <w:rsid w:val="000B27D2"/>
    <w:rsid w:val="000C358B"/>
    <w:rsid w:val="000D22D4"/>
    <w:rsid w:val="000E279B"/>
    <w:rsid w:val="000F1F0C"/>
    <w:rsid w:val="00101B57"/>
    <w:rsid w:val="0013431C"/>
    <w:rsid w:val="00156412"/>
    <w:rsid w:val="00164637"/>
    <w:rsid w:val="001775A2"/>
    <w:rsid w:val="00194F17"/>
    <w:rsid w:val="001A4986"/>
    <w:rsid w:val="001B4C3C"/>
    <w:rsid w:val="001F65D6"/>
    <w:rsid w:val="00206BD2"/>
    <w:rsid w:val="00231803"/>
    <w:rsid w:val="00293F41"/>
    <w:rsid w:val="002D0E18"/>
    <w:rsid w:val="002F66F6"/>
    <w:rsid w:val="00311AC9"/>
    <w:rsid w:val="003211E7"/>
    <w:rsid w:val="003539A2"/>
    <w:rsid w:val="00374A4D"/>
    <w:rsid w:val="003F7797"/>
    <w:rsid w:val="00402CFE"/>
    <w:rsid w:val="00424FBE"/>
    <w:rsid w:val="00464248"/>
    <w:rsid w:val="0049347A"/>
    <w:rsid w:val="004D6584"/>
    <w:rsid w:val="004F3806"/>
    <w:rsid w:val="00532CBB"/>
    <w:rsid w:val="005373ED"/>
    <w:rsid w:val="005A73D8"/>
    <w:rsid w:val="005B134C"/>
    <w:rsid w:val="005B77C0"/>
    <w:rsid w:val="005F3A7E"/>
    <w:rsid w:val="005F597D"/>
    <w:rsid w:val="0063646F"/>
    <w:rsid w:val="006543AF"/>
    <w:rsid w:val="00657512"/>
    <w:rsid w:val="006969B0"/>
    <w:rsid w:val="006A3C80"/>
    <w:rsid w:val="006B37F8"/>
    <w:rsid w:val="006C7AD1"/>
    <w:rsid w:val="006D387E"/>
    <w:rsid w:val="006E72BE"/>
    <w:rsid w:val="006F5D6D"/>
    <w:rsid w:val="00703965"/>
    <w:rsid w:val="007146D1"/>
    <w:rsid w:val="00752902"/>
    <w:rsid w:val="007908E1"/>
    <w:rsid w:val="00794CA6"/>
    <w:rsid w:val="007A6CA5"/>
    <w:rsid w:val="007B6978"/>
    <w:rsid w:val="007E546D"/>
    <w:rsid w:val="008016BE"/>
    <w:rsid w:val="00837AC8"/>
    <w:rsid w:val="00871E48"/>
    <w:rsid w:val="00880A95"/>
    <w:rsid w:val="00885548"/>
    <w:rsid w:val="008B3B08"/>
    <w:rsid w:val="00900088"/>
    <w:rsid w:val="00974242"/>
    <w:rsid w:val="009913B2"/>
    <w:rsid w:val="009C01A1"/>
    <w:rsid w:val="009D3C3C"/>
    <w:rsid w:val="00A017DD"/>
    <w:rsid w:val="00A0694C"/>
    <w:rsid w:val="00A245DA"/>
    <w:rsid w:val="00A651FF"/>
    <w:rsid w:val="00A66247"/>
    <w:rsid w:val="00A77672"/>
    <w:rsid w:val="00A84C3D"/>
    <w:rsid w:val="00A93AAD"/>
    <w:rsid w:val="00AA7E48"/>
    <w:rsid w:val="00AD6517"/>
    <w:rsid w:val="00AF70CE"/>
    <w:rsid w:val="00AF7BDF"/>
    <w:rsid w:val="00B03FE7"/>
    <w:rsid w:val="00B227D9"/>
    <w:rsid w:val="00B467C0"/>
    <w:rsid w:val="00B8586F"/>
    <w:rsid w:val="00B975F8"/>
    <w:rsid w:val="00BA0932"/>
    <w:rsid w:val="00BA6821"/>
    <w:rsid w:val="00BC3AB8"/>
    <w:rsid w:val="00C1474D"/>
    <w:rsid w:val="00C77C60"/>
    <w:rsid w:val="00C91960"/>
    <w:rsid w:val="00CD54FD"/>
    <w:rsid w:val="00D2155B"/>
    <w:rsid w:val="00D3216B"/>
    <w:rsid w:val="00D54616"/>
    <w:rsid w:val="00D63D2B"/>
    <w:rsid w:val="00D84BF5"/>
    <w:rsid w:val="00D87F1E"/>
    <w:rsid w:val="00DA18D3"/>
    <w:rsid w:val="00DB41F0"/>
    <w:rsid w:val="00DF0E4A"/>
    <w:rsid w:val="00E06F88"/>
    <w:rsid w:val="00E30B46"/>
    <w:rsid w:val="00E33D76"/>
    <w:rsid w:val="00E762BC"/>
    <w:rsid w:val="00E800E1"/>
    <w:rsid w:val="00EC5C03"/>
    <w:rsid w:val="00ED2CAC"/>
    <w:rsid w:val="00F2732E"/>
    <w:rsid w:val="00F7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2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1">
    <w:name w:val="Знак Знак1 Знак Знак Знак Знак Знак Знак1 Знак"/>
    <w:basedOn w:val="Normal"/>
    <w:uiPriority w:val="99"/>
    <w:rsid w:val="00CD54F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BodyText">
    <w:name w:val="Body Text"/>
    <w:aliases w:val="Основной текст Знак1 Знак,Основной текст Знак1 Знак Знак,Основной текст Знак1 Знак Знак Знак,Основной текст Знак1 Знак Знак Знак Знак"/>
    <w:basedOn w:val="Normal"/>
    <w:link w:val="BodyTextChar"/>
    <w:uiPriority w:val="99"/>
    <w:rsid w:val="00CD54F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Char">
    <w:name w:val="Body Text Char"/>
    <w:aliases w:val="Основной текст Знак1 Знак Char,Основной текст Знак1 Знак Знак Char,Основной текст Знак1 Знак Знак Знак Char,Основной текст Знак1 Знак Знак Знак Знак Char"/>
    <w:basedOn w:val="DefaultParagraphFont"/>
    <w:link w:val="BodyText"/>
    <w:uiPriority w:val="99"/>
    <w:locked/>
    <w:rsid w:val="00CD54FD"/>
    <w:rPr>
      <w:rFonts w:ascii="Times New Roman" w:hAnsi="Times New Roman" w:cs="Times New Roman"/>
      <w:sz w:val="20"/>
      <w:szCs w:val="20"/>
      <w:lang w:eastAsia="ru-RU"/>
    </w:rPr>
  </w:style>
  <w:style w:type="paragraph" w:styleId="Footer">
    <w:name w:val="footer"/>
    <w:basedOn w:val="Normal"/>
    <w:link w:val="FooterChar"/>
    <w:uiPriority w:val="99"/>
    <w:rsid w:val="00CD54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D54FD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CD54FD"/>
    <w:rPr>
      <w:rFonts w:cs="Times New Roman"/>
      <w:color w:val="0000FF"/>
      <w:u w:val="single"/>
    </w:rPr>
  </w:style>
  <w:style w:type="character" w:customStyle="1" w:styleId="1">
    <w:name w:val="Основной текст Знак1 Знак Знак Знак Знак Знак"/>
    <w:aliases w:val="Основной текст Знак1 Знак Знак Знак Знак1"/>
    <w:uiPriority w:val="99"/>
    <w:rsid w:val="00CD54FD"/>
    <w:rPr>
      <w:sz w:val="24"/>
      <w:lang w:val="ru-RU" w:eastAsia="ru-RU"/>
    </w:rPr>
  </w:style>
  <w:style w:type="paragraph" w:styleId="Title">
    <w:name w:val="Title"/>
    <w:basedOn w:val="Normal"/>
    <w:link w:val="TitleChar"/>
    <w:uiPriority w:val="99"/>
    <w:qFormat/>
    <w:rsid w:val="00CD54F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CD54FD"/>
    <w:rPr>
      <w:rFonts w:ascii="Times New Roman" w:hAnsi="Times New Roman" w:cs="Times New Roman"/>
      <w:sz w:val="20"/>
      <w:szCs w:val="20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CD54FD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D54FD"/>
    <w:rPr>
      <w:rFonts w:ascii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CD5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CD54FD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CD54FD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CD54FD"/>
    <w:rPr>
      <w:rFonts w:ascii="Arial" w:hAnsi="Arial"/>
      <w:sz w:val="22"/>
      <w:lang w:eastAsia="ru-RU"/>
    </w:rPr>
  </w:style>
  <w:style w:type="character" w:customStyle="1" w:styleId="a">
    <w:name w:val="Основной текст Знак Знак"/>
    <w:uiPriority w:val="99"/>
    <w:rsid w:val="00CD54FD"/>
    <w:rPr>
      <w:sz w:val="28"/>
      <w:lang w:val="ru-RU" w:eastAsia="ru-RU"/>
    </w:rPr>
  </w:style>
  <w:style w:type="character" w:styleId="Strong">
    <w:name w:val="Strong"/>
    <w:basedOn w:val="DefaultParagraphFont"/>
    <w:uiPriority w:val="99"/>
    <w:qFormat/>
    <w:rsid w:val="00CD54FD"/>
    <w:rPr>
      <w:rFonts w:ascii="Verdana" w:hAnsi="Verdana" w:cs="Times New Roman"/>
      <w:b/>
    </w:rPr>
  </w:style>
  <w:style w:type="character" w:customStyle="1" w:styleId="a0">
    <w:name w:val="Цветовое выделение"/>
    <w:uiPriority w:val="99"/>
    <w:rsid w:val="00CD54FD"/>
    <w:rPr>
      <w:b/>
      <w:color w:val="000080"/>
    </w:rPr>
  </w:style>
  <w:style w:type="table" w:styleId="TableGrid">
    <w:name w:val="Table Grid"/>
    <w:basedOn w:val="TableNormal"/>
    <w:uiPriority w:val="99"/>
    <w:rsid w:val="00CD54F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1">
    <w:name w:val="Гипертекстовая ссылка"/>
    <w:uiPriority w:val="99"/>
    <w:rsid w:val="00CD54FD"/>
    <w:rPr>
      <w:b/>
      <w:color w:val="008000"/>
    </w:rPr>
  </w:style>
  <w:style w:type="character" w:styleId="PageNumber">
    <w:name w:val="page number"/>
    <w:basedOn w:val="DefaultParagraphFont"/>
    <w:uiPriority w:val="99"/>
    <w:rsid w:val="00CD54FD"/>
    <w:rPr>
      <w:rFonts w:cs="Times New Roman"/>
    </w:rPr>
  </w:style>
  <w:style w:type="character" w:customStyle="1" w:styleId="FontStyle11">
    <w:name w:val="Font Style11"/>
    <w:uiPriority w:val="99"/>
    <w:rsid w:val="00CD54FD"/>
    <w:rPr>
      <w:rFonts w:ascii="Times New Roman" w:hAnsi="Times New Roman"/>
      <w:b/>
      <w:sz w:val="34"/>
    </w:rPr>
  </w:style>
  <w:style w:type="paragraph" w:customStyle="1" w:styleId="Style10">
    <w:name w:val="Style10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150" w:lineRule="exact"/>
      <w:ind w:firstLine="1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120" w:lineRule="exact"/>
      <w:ind w:firstLine="18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16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144" w:lineRule="exact"/>
      <w:ind w:firstLine="415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CD54FD"/>
    <w:rPr>
      <w:rFonts w:ascii="Times New Roman" w:hAnsi="Times New Roman"/>
      <w:b/>
      <w:sz w:val="22"/>
    </w:rPr>
  </w:style>
  <w:style w:type="character" w:customStyle="1" w:styleId="FontStyle29">
    <w:name w:val="Font Style29"/>
    <w:uiPriority w:val="99"/>
    <w:rsid w:val="00CD54FD"/>
    <w:rPr>
      <w:rFonts w:ascii="Times New Roman" w:hAnsi="Times New Roman"/>
      <w:b/>
      <w:sz w:val="18"/>
    </w:rPr>
  </w:style>
  <w:style w:type="character" w:customStyle="1" w:styleId="FontStyle30">
    <w:name w:val="Font Style30"/>
    <w:uiPriority w:val="99"/>
    <w:rsid w:val="00CD54FD"/>
    <w:rPr>
      <w:rFonts w:ascii="Times New Roman" w:hAnsi="Times New Roman"/>
      <w:b/>
      <w:sz w:val="16"/>
    </w:rPr>
  </w:style>
  <w:style w:type="character" w:customStyle="1" w:styleId="FontStyle31">
    <w:name w:val="Font Style31"/>
    <w:uiPriority w:val="99"/>
    <w:rsid w:val="00CD54FD"/>
    <w:rPr>
      <w:rFonts w:ascii="Times New Roman" w:hAnsi="Times New Roman"/>
      <w:sz w:val="12"/>
    </w:rPr>
  </w:style>
  <w:style w:type="character" w:customStyle="1" w:styleId="FontStyle33">
    <w:name w:val="Font Style33"/>
    <w:uiPriority w:val="99"/>
    <w:rsid w:val="00CD54FD"/>
    <w:rPr>
      <w:rFonts w:ascii="Times New Roman" w:hAnsi="Times New Roman"/>
      <w:b/>
      <w:sz w:val="16"/>
    </w:rPr>
  </w:style>
  <w:style w:type="character" w:customStyle="1" w:styleId="FontStyle34">
    <w:name w:val="Font Style34"/>
    <w:uiPriority w:val="99"/>
    <w:rsid w:val="00CD54FD"/>
    <w:rPr>
      <w:rFonts w:ascii="Times New Roman" w:hAnsi="Times New Roman"/>
      <w:sz w:val="16"/>
    </w:rPr>
  </w:style>
  <w:style w:type="character" w:customStyle="1" w:styleId="FontStyle35">
    <w:name w:val="Font Style35"/>
    <w:uiPriority w:val="99"/>
    <w:rsid w:val="00CD54FD"/>
    <w:rPr>
      <w:rFonts w:ascii="Times New Roman" w:hAnsi="Times New Roman"/>
      <w:b/>
      <w:sz w:val="14"/>
    </w:rPr>
  </w:style>
  <w:style w:type="paragraph" w:styleId="BalloonText">
    <w:name w:val="Balloon Text"/>
    <w:basedOn w:val="Normal"/>
    <w:link w:val="BalloonTextChar"/>
    <w:uiPriority w:val="99"/>
    <w:rsid w:val="00CD54F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CD54FD"/>
    <w:rPr>
      <w:rFonts w:ascii="Tahoma" w:hAnsi="Tahoma" w:cs="Tahoma"/>
      <w:sz w:val="16"/>
      <w:szCs w:val="16"/>
      <w:lang w:eastAsia="ru-RU"/>
    </w:rPr>
  </w:style>
  <w:style w:type="paragraph" w:customStyle="1" w:styleId="ConsNormal">
    <w:name w:val="ConsNormal"/>
    <w:uiPriority w:val="99"/>
    <w:rsid w:val="00CD54FD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FontStyle26">
    <w:name w:val="Font Style26"/>
    <w:uiPriority w:val="99"/>
    <w:rsid w:val="00CD54FD"/>
    <w:rPr>
      <w:rFonts w:ascii="Times New Roman" w:hAnsi="Times New Roman"/>
      <w:sz w:val="22"/>
    </w:rPr>
  </w:style>
  <w:style w:type="paragraph" w:customStyle="1" w:styleId="Style3">
    <w:name w:val="Style3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21" w:lineRule="exact"/>
      <w:ind w:hanging="210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75" w:lineRule="exact"/>
      <w:ind w:firstLine="56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Normal"/>
    <w:uiPriority w:val="99"/>
    <w:rsid w:val="00CD54FD"/>
    <w:pPr>
      <w:widowControl w:val="0"/>
      <w:autoSpaceDE w:val="0"/>
      <w:autoSpaceDN w:val="0"/>
      <w:adjustRightInd w:val="0"/>
      <w:spacing w:after="0" w:line="220" w:lineRule="exact"/>
      <w:ind w:hanging="157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0">
    <w:name w:val="p20"/>
    <w:basedOn w:val="Normal"/>
    <w:uiPriority w:val="99"/>
    <w:rsid w:val="00CD5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CD54FD"/>
  </w:style>
  <w:style w:type="paragraph" w:customStyle="1" w:styleId="p9">
    <w:name w:val="p9"/>
    <w:basedOn w:val="Normal"/>
    <w:uiPriority w:val="99"/>
    <w:rsid w:val="00CD54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9">
    <w:name w:val="s9"/>
    <w:uiPriority w:val="99"/>
    <w:rsid w:val="00CD54FD"/>
  </w:style>
  <w:style w:type="character" w:customStyle="1" w:styleId="s5">
    <w:name w:val="s5"/>
    <w:uiPriority w:val="99"/>
    <w:rsid w:val="00CD54FD"/>
  </w:style>
  <w:style w:type="paragraph" w:customStyle="1" w:styleId="p5">
    <w:name w:val="p5"/>
    <w:basedOn w:val="Normal"/>
    <w:uiPriority w:val="99"/>
    <w:rsid w:val="00703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4">
    <w:name w:val="p24"/>
    <w:basedOn w:val="Normal"/>
    <w:uiPriority w:val="99"/>
    <w:rsid w:val="00703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5">
    <w:name w:val="p25"/>
    <w:basedOn w:val="Normal"/>
    <w:uiPriority w:val="99"/>
    <w:rsid w:val="00703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0">
    <w:name w:val="p10"/>
    <w:basedOn w:val="Normal"/>
    <w:uiPriority w:val="99"/>
    <w:rsid w:val="00703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3">
    <w:name w:val="s3"/>
    <w:uiPriority w:val="99"/>
    <w:rsid w:val="00703965"/>
  </w:style>
  <w:style w:type="character" w:customStyle="1" w:styleId="s2">
    <w:name w:val="s2"/>
    <w:uiPriority w:val="99"/>
    <w:rsid w:val="00703965"/>
  </w:style>
  <w:style w:type="character" w:customStyle="1" w:styleId="s6">
    <w:name w:val="s6"/>
    <w:uiPriority w:val="99"/>
    <w:rsid w:val="00703965"/>
  </w:style>
  <w:style w:type="character" w:customStyle="1" w:styleId="s4">
    <w:name w:val="s4"/>
    <w:uiPriority w:val="99"/>
    <w:rsid w:val="00703965"/>
  </w:style>
  <w:style w:type="paragraph" w:styleId="ListParagraph">
    <w:name w:val="List Paragraph"/>
    <w:basedOn w:val="Normal"/>
    <w:uiPriority w:val="99"/>
    <w:qFormat/>
    <w:rsid w:val="007146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0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0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0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1388</TotalTime>
  <Pages>10</Pages>
  <Words>4201</Words>
  <Characters>23947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2013-12-10T13:25:00Z</cp:lastPrinted>
  <dcterms:created xsi:type="dcterms:W3CDTF">2013-11-26T07:34:00Z</dcterms:created>
  <dcterms:modified xsi:type="dcterms:W3CDTF">2013-12-17T05:52:00Z</dcterms:modified>
</cp:coreProperties>
</file>